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F343" w14:textId="77777777" w:rsidR="00026D05" w:rsidRDefault="00026D05" w:rsidP="00026D05">
      <w:pPr>
        <w:pStyle w:val="Default"/>
        <w:spacing w:after="120" w:line="276" w:lineRule="auto"/>
        <w:ind w:right="-285"/>
        <w:jc w:val="both"/>
        <w:rPr>
          <w:rFonts w:asciiTheme="majorBidi" w:hAnsiTheme="majorBidi"/>
          <w:b/>
          <w:bCs/>
          <w:lang w:val="en-US"/>
        </w:rPr>
      </w:pPr>
      <w:r>
        <w:rPr>
          <w:rFonts w:asciiTheme="majorBidi" w:hAnsiTheme="majorBidi"/>
          <w:b/>
          <w:bCs/>
          <w:lang w:val="en-US"/>
        </w:rPr>
        <w:t>DAFTAR PUSTAKA</w:t>
      </w:r>
    </w:p>
    <w:p w14:paraId="60025669" w14:textId="77777777" w:rsidR="00026D05" w:rsidRPr="004D091B" w:rsidRDefault="00026D05" w:rsidP="00026D0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eastAsia="Calibri"/>
          <w:noProof/>
          <w:sz w:val="24"/>
          <w:szCs w:val="24"/>
        </w:rPr>
      </w:pPr>
      <w:r w:rsidRPr="004D091B">
        <w:rPr>
          <w:rFonts w:ascii="Times New Roman" w:eastAsia="Calibri" w:hAnsi="Times New Roman" w:cs="Times New Roman"/>
          <w:sz w:val="24"/>
          <w:szCs w:val="24"/>
        </w:rPr>
        <w:fldChar w:fldCharType="begin" w:fldLock="1"/>
      </w:r>
      <w:r w:rsidRPr="004D091B">
        <w:rPr>
          <w:rFonts w:eastAsia="Calibri"/>
          <w:sz w:val="24"/>
          <w:szCs w:val="24"/>
        </w:rPr>
        <w:instrText xml:space="preserve">ADDIN Mendeley Bibliography CSL_BIBLIOGRAPHY </w:instrText>
      </w:r>
      <w:r w:rsidRPr="004D091B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D091B">
        <w:rPr>
          <w:rFonts w:eastAsia="Calibri"/>
          <w:noProof/>
          <w:sz w:val="24"/>
          <w:szCs w:val="24"/>
        </w:rPr>
        <w:t xml:space="preserve">Andini, Y. T., &amp; Ramiati, E. (2020). Penggunaan Metode Bermain Peran Guna Meningkatkan Karakter Tanggung Jawab Anak. </w:t>
      </w:r>
      <w:r w:rsidRPr="004D091B">
        <w:rPr>
          <w:rFonts w:eastAsia="Calibri"/>
          <w:i/>
          <w:iCs/>
          <w:noProof/>
          <w:sz w:val="24"/>
          <w:szCs w:val="24"/>
        </w:rPr>
        <w:t>Jurnal Ilmiah Potensia</w:t>
      </w:r>
      <w:r w:rsidRPr="004D091B">
        <w:rPr>
          <w:rFonts w:eastAsia="Calibri"/>
          <w:noProof/>
          <w:sz w:val="24"/>
          <w:szCs w:val="24"/>
        </w:rPr>
        <w:t xml:space="preserve">, </w:t>
      </w:r>
      <w:r w:rsidRPr="004D091B">
        <w:rPr>
          <w:rFonts w:eastAsia="Calibri"/>
          <w:i/>
          <w:iCs/>
          <w:noProof/>
          <w:sz w:val="24"/>
          <w:szCs w:val="24"/>
        </w:rPr>
        <w:t>5</w:t>
      </w:r>
      <w:r w:rsidRPr="004D091B">
        <w:rPr>
          <w:rFonts w:eastAsia="Calibri"/>
          <w:noProof/>
          <w:sz w:val="24"/>
          <w:szCs w:val="24"/>
        </w:rPr>
        <w:t>(1), 8–15.</w:t>
      </w:r>
    </w:p>
    <w:p w14:paraId="54B9EAC3" w14:textId="77777777" w:rsidR="00026D05" w:rsidRPr="004D091B" w:rsidRDefault="00026D05" w:rsidP="00026D0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eastAsia="Calibri"/>
          <w:noProof/>
          <w:sz w:val="24"/>
          <w:szCs w:val="24"/>
        </w:rPr>
      </w:pPr>
      <w:r w:rsidRPr="004D091B">
        <w:rPr>
          <w:rFonts w:eastAsia="Calibri"/>
          <w:noProof/>
          <w:sz w:val="24"/>
          <w:szCs w:val="24"/>
        </w:rPr>
        <w:t xml:space="preserve">Drs.H Mahmud. (2008). </w:t>
      </w:r>
      <w:r w:rsidRPr="004D091B">
        <w:rPr>
          <w:rFonts w:eastAsia="Calibri"/>
          <w:i/>
          <w:iCs/>
          <w:noProof/>
          <w:sz w:val="24"/>
          <w:szCs w:val="24"/>
        </w:rPr>
        <w:t>Penelitian Tindakan Kelas</w:t>
      </w:r>
      <w:r w:rsidRPr="004D091B">
        <w:rPr>
          <w:rFonts w:eastAsia="Calibri"/>
          <w:noProof/>
          <w:sz w:val="24"/>
          <w:szCs w:val="24"/>
        </w:rPr>
        <w:t>.</w:t>
      </w:r>
    </w:p>
    <w:p w14:paraId="7B7014E6" w14:textId="77777777" w:rsidR="00026D05" w:rsidRPr="004D091B" w:rsidRDefault="00026D05" w:rsidP="00026D0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eastAsia="Calibri"/>
          <w:noProof/>
          <w:sz w:val="24"/>
          <w:szCs w:val="24"/>
        </w:rPr>
      </w:pPr>
      <w:r w:rsidRPr="004D091B">
        <w:rPr>
          <w:rFonts w:eastAsia="Calibri"/>
          <w:noProof/>
          <w:sz w:val="24"/>
          <w:szCs w:val="24"/>
        </w:rPr>
        <w:t xml:space="preserve">Fadlillah, M. (2018). </w:t>
      </w:r>
      <w:r w:rsidRPr="004D091B">
        <w:rPr>
          <w:rFonts w:eastAsia="Calibri"/>
          <w:i/>
          <w:iCs/>
          <w:noProof/>
          <w:sz w:val="24"/>
          <w:szCs w:val="24"/>
        </w:rPr>
        <w:t>Konsep Dasar PAUD</w:t>
      </w:r>
      <w:r w:rsidRPr="004D091B">
        <w:rPr>
          <w:rFonts w:eastAsia="Calibri"/>
          <w:noProof/>
          <w:sz w:val="24"/>
          <w:szCs w:val="24"/>
        </w:rPr>
        <w:t>. Unmuh Ponorogo Press.</w:t>
      </w:r>
    </w:p>
    <w:p w14:paraId="15DEC87F" w14:textId="77777777" w:rsidR="00026D05" w:rsidRPr="004D091B" w:rsidRDefault="00026D05" w:rsidP="00026D0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eastAsia="Calibri"/>
          <w:noProof/>
          <w:sz w:val="24"/>
          <w:szCs w:val="24"/>
        </w:rPr>
      </w:pPr>
      <w:r w:rsidRPr="004D091B">
        <w:rPr>
          <w:rFonts w:eastAsia="Calibri"/>
          <w:noProof/>
          <w:sz w:val="24"/>
          <w:szCs w:val="24"/>
        </w:rPr>
        <w:t xml:space="preserve">Haryani, R. I., Jaya, I., &amp; Yulsyofriend, Y. (2019). Pembentukan Karakter Tanggung Jawab Di Taman Kanak-Kanak Islam Budi Mulia Padang. </w:t>
      </w:r>
      <w:r w:rsidRPr="004D091B">
        <w:rPr>
          <w:rFonts w:eastAsia="Calibri"/>
          <w:i/>
          <w:iCs/>
          <w:noProof/>
          <w:sz w:val="24"/>
          <w:szCs w:val="24"/>
        </w:rPr>
        <w:t>Jurnal Ilmiah Potensia</w:t>
      </w:r>
      <w:r w:rsidRPr="004D091B">
        <w:rPr>
          <w:rFonts w:eastAsia="Calibri"/>
          <w:noProof/>
          <w:sz w:val="24"/>
          <w:szCs w:val="24"/>
        </w:rPr>
        <w:t xml:space="preserve">, </w:t>
      </w:r>
      <w:r w:rsidRPr="004D091B">
        <w:rPr>
          <w:rFonts w:eastAsia="Calibri"/>
          <w:i/>
          <w:iCs/>
          <w:noProof/>
          <w:sz w:val="24"/>
          <w:szCs w:val="24"/>
        </w:rPr>
        <w:t>4</w:t>
      </w:r>
      <w:r w:rsidRPr="004D091B">
        <w:rPr>
          <w:rFonts w:eastAsia="Calibri"/>
          <w:noProof/>
          <w:sz w:val="24"/>
          <w:szCs w:val="24"/>
        </w:rPr>
        <w:t>(2), 105–114. https://doi.org/10.33369/jip.4.2.105-114</w:t>
      </w:r>
    </w:p>
    <w:p w14:paraId="1EBE7D3E" w14:textId="77777777" w:rsidR="00026D05" w:rsidRPr="004D091B" w:rsidRDefault="00026D05" w:rsidP="00026D0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eastAsia="Calibri"/>
          <w:noProof/>
          <w:sz w:val="24"/>
          <w:szCs w:val="24"/>
        </w:rPr>
      </w:pPr>
      <w:r w:rsidRPr="004D091B">
        <w:rPr>
          <w:rFonts w:eastAsia="Calibri"/>
          <w:noProof/>
          <w:sz w:val="24"/>
          <w:szCs w:val="24"/>
        </w:rPr>
        <w:t xml:space="preserve">Muhammad mulyadi. (2011). </w:t>
      </w:r>
      <w:r w:rsidRPr="004D091B">
        <w:rPr>
          <w:rFonts w:eastAsia="Calibri"/>
          <w:i/>
          <w:iCs/>
          <w:noProof/>
          <w:sz w:val="24"/>
          <w:szCs w:val="24"/>
        </w:rPr>
        <w:t>Penelitian Kuantitatif Dan Kualitatif Serta Pemikiran Dasar Menggabungkannya</w:t>
      </w:r>
      <w:r w:rsidRPr="004D091B">
        <w:rPr>
          <w:rFonts w:eastAsia="Calibri"/>
          <w:noProof/>
          <w:sz w:val="24"/>
          <w:szCs w:val="24"/>
        </w:rPr>
        <w:t>.</w:t>
      </w:r>
    </w:p>
    <w:p w14:paraId="0CD7637B" w14:textId="77777777" w:rsidR="00026D05" w:rsidRPr="004D091B" w:rsidRDefault="00026D05" w:rsidP="00026D0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eastAsia="Calibri"/>
          <w:noProof/>
          <w:sz w:val="24"/>
          <w:szCs w:val="24"/>
        </w:rPr>
      </w:pPr>
      <w:r w:rsidRPr="004D091B">
        <w:rPr>
          <w:rFonts w:eastAsia="Calibri"/>
          <w:noProof/>
          <w:sz w:val="24"/>
          <w:szCs w:val="24"/>
        </w:rPr>
        <w:t xml:space="preserve">Rustamaji, D. sofa nurhidayah, &amp; Cahniyo Wijaya Kuswanto. (2019). Implementasi Pendidikan Karakter Anak Usia Dini melalui Metode Bermain Peran Usia 5-6 Tahun di Taman Kanak-Kanak An-Nahl Bandar Lampung. </w:t>
      </w:r>
      <w:r w:rsidRPr="004D091B">
        <w:rPr>
          <w:rFonts w:eastAsia="Calibri"/>
          <w:i/>
          <w:iCs/>
          <w:noProof/>
          <w:sz w:val="24"/>
          <w:szCs w:val="24"/>
        </w:rPr>
        <w:t>PAUD Lectura: Jurnal Pendidikan Anak Usia Dini</w:t>
      </w:r>
      <w:r w:rsidRPr="004D091B">
        <w:rPr>
          <w:rFonts w:eastAsia="Calibri"/>
          <w:noProof/>
          <w:sz w:val="24"/>
          <w:szCs w:val="24"/>
        </w:rPr>
        <w:t xml:space="preserve">, </w:t>
      </w:r>
      <w:r w:rsidRPr="004D091B">
        <w:rPr>
          <w:rFonts w:eastAsia="Calibri"/>
          <w:i/>
          <w:iCs/>
          <w:noProof/>
          <w:sz w:val="24"/>
          <w:szCs w:val="24"/>
        </w:rPr>
        <w:t>3</w:t>
      </w:r>
      <w:r w:rsidRPr="004D091B">
        <w:rPr>
          <w:rFonts w:eastAsia="Calibri"/>
          <w:noProof/>
          <w:sz w:val="24"/>
          <w:szCs w:val="24"/>
        </w:rPr>
        <w:t>(01), 1–9. https://doi.org/10.31849/paud-lectura.v3i01.3080</w:t>
      </w:r>
    </w:p>
    <w:p w14:paraId="3E1022C0" w14:textId="77777777" w:rsidR="00026D05" w:rsidRPr="004D091B" w:rsidRDefault="00026D05" w:rsidP="00026D0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eastAsia="Calibri"/>
          <w:noProof/>
          <w:sz w:val="24"/>
          <w:szCs w:val="24"/>
        </w:rPr>
      </w:pPr>
      <w:r w:rsidRPr="004D091B">
        <w:rPr>
          <w:rFonts w:eastAsia="Calibri"/>
          <w:noProof/>
          <w:sz w:val="24"/>
          <w:szCs w:val="24"/>
        </w:rPr>
        <w:t xml:space="preserve">Sriyanti, &amp; Pratiwi, E. S. (2022). Implementasi Pendidikan Karakter melalui Metode Bermain Peran di BA Nurul Hidayah …. </w:t>
      </w:r>
      <w:r w:rsidRPr="004D091B">
        <w:rPr>
          <w:rFonts w:eastAsia="Calibri"/>
          <w:i/>
          <w:iCs/>
          <w:noProof/>
          <w:sz w:val="24"/>
          <w:szCs w:val="24"/>
        </w:rPr>
        <w:t>Jurnal Al Athfal</w:t>
      </w:r>
      <w:r w:rsidRPr="004D091B">
        <w:rPr>
          <w:rFonts w:eastAsia="Calibri"/>
          <w:noProof/>
          <w:sz w:val="24"/>
          <w:szCs w:val="24"/>
        </w:rPr>
        <w:t xml:space="preserve">, </w:t>
      </w:r>
      <w:r w:rsidRPr="004D091B">
        <w:rPr>
          <w:rFonts w:eastAsia="Calibri"/>
          <w:i/>
          <w:iCs/>
          <w:noProof/>
          <w:sz w:val="24"/>
          <w:szCs w:val="24"/>
        </w:rPr>
        <w:t>3</w:t>
      </w:r>
      <w:r w:rsidRPr="004D091B">
        <w:rPr>
          <w:rFonts w:eastAsia="Calibri"/>
          <w:noProof/>
          <w:sz w:val="24"/>
          <w:szCs w:val="24"/>
        </w:rPr>
        <w:t>(1), 1</w:t>
      </w:r>
      <w:r>
        <w:rPr>
          <w:rFonts w:eastAsia="Calibri"/>
          <w:noProof/>
          <w:sz w:val="24"/>
          <w:szCs w:val="24"/>
          <w:lang w:val="en-US"/>
        </w:rPr>
        <w:t>-</w:t>
      </w:r>
      <w:r w:rsidRPr="004D091B">
        <w:rPr>
          <w:rFonts w:eastAsia="Calibri"/>
          <w:noProof/>
          <w:sz w:val="24"/>
          <w:szCs w:val="24"/>
        </w:rPr>
        <w:t>14.</w:t>
      </w:r>
    </w:p>
    <w:p w14:paraId="0C11FB04" w14:textId="77777777" w:rsidR="00026D05" w:rsidRPr="004D091B" w:rsidRDefault="00026D05" w:rsidP="00026D0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eastAsia="Calibri"/>
          <w:noProof/>
          <w:sz w:val="24"/>
          <w:szCs w:val="24"/>
        </w:rPr>
      </w:pPr>
      <w:r w:rsidRPr="004D091B">
        <w:rPr>
          <w:rFonts w:eastAsia="Calibri"/>
          <w:noProof/>
          <w:sz w:val="24"/>
          <w:szCs w:val="24"/>
        </w:rPr>
        <w:t xml:space="preserve">Sugiyono. (2016). </w:t>
      </w:r>
      <w:r w:rsidRPr="004D091B">
        <w:rPr>
          <w:rFonts w:eastAsia="Calibri"/>
          <w:i/>
          <w:iCs/>
          <w:noProof/>
          <w:sz w:val="24"/>
          <w:szCs w:val="24"/>
        </w:rPr>
        <w:t>Metode penelitian</w:t>
      </w:r>
      <w:r w:rsidRPr="004D091B">
        <w:rPr>
          <w:rFonts w:eastAsia="Calibri"/>
          <w:noProof/>
          <w:sz w:val="24"/>
          <w:szCs w:val="24"/>
        </w:rPr>
        <w:t>.</w:t>
      </w:r>
    </w:p>
    <w:p w14:paraId="28D78512" w14:textId="77777777" w:rsidR="00026D05" w:rsidRPr="004D091B" w:rsidRDefault="00026D05" w:rsidP="00026D0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eastAsia="Calibri"/>
          <w:noProof/>
          <w:sz w:val="24"/>
        </w:rPr>
      </w:pPr>
      <w:r w:rsidRPr="004D091B">
        <w:rPr>
          <w:rFonts w:eastAsia="Calibri"/>
          <w:noProof/>
          <w:sz w:val="24"/>
          <w:szCs w:val="24"/>
        </w:rPr>
        <w:t xml:space="preserve">Syaikhon, M. (2019). Implementasi Pendidikan Karakter Anak Usia Dini Di Ra Sabilul Huda Desa Laban Menganti Gresik. </w:t>
      </w:r>
      <w:r w:rsidRPr="004D091B">
        <w:rPr>
          <w:rFonts w:eastAsia="Calibri"/>
          <w:i/>
          <w:iCs/>
          <w:noProof/>
          <w:sz w:val="24"/>
          <w:szCs w:val="24"/>
        </w:rPr>
        <w:t>Al-Insyiroh: Jurnal Studi Keislaman</w:t>
      </w:r>
      <w:r w:rsidRPr="004D091B">
        <w:rPr>
          <w:rFonts w:eastAsia="Calibri"/>
          <w:noProof/>
          <w:sz w:val="24"/>
          <w:szCs w:val="24"/>
        </w:rPr>
        <w:t xml:space="preserve">, </w:t>
      </w:r>
      <w:r w:rsidRPr="004D091B">
        <w:rPr>
          <w:rFonts w:eastAsia="Calibri"/>
          <w:i/>
          <w:iCs/>
          <w:noProof/>
          <w:sz w:val="24"/>
          <w:szCs w:val="24"/>
        </w:rPr>
        <w:t>5</w:t>
      </w:r>
      <w:r w:rsidRPr="004D091B">
        <w:rPr>
          <w:rFonts w:eastAsia="Calibri"/>
          <w:noProof/>
          <w:sz w:val="24"/>
          <w:szCs w:val="24"/>
        </w:rPr>
        <w:t>(2), 1–9. https://doi.org/10.35309/alinsyiroh.v5i2.3513</w:t>
      </w:r>
    </w:p>
    <w:p w14:paraId="6F18DB5A" w14:textId="77777777" w:rsidR="00026D05" w:rsidRPr="000412F2" w:rsidRDefault="00026D05" w:rsidP="00026D05">
      <w:pPr>
        <w:pStyle w:val="Default"/>
        <w:spacing w:after="120" w:line="276" w:lineRule="auto"/>
        <w:ind w:right="-285"/>
        <w:jc w:val="both"/>
        <w:rPr>
          <w:rFonts w:asciiTheme="majorBidi" w:hAnsiTheme="majorBidi"/>
          <w:b/>
          <w:bCs/>
          <w:lang w:val="en-US"/>
        </w:rPr>
      </w:pPr>
      <w:r w:rsidRPr="004D091B">
        <w:rPr>
          <w:rFonts w:ascii="Calibri" w:eastAsia="Calibri" w:hAnsi="Calibri" w:cs="Calibri"/>
          <w:color w:val="auto"/>
          <w:sz w:val="22"/>
          <w:szCs w:val="22"/>
        </w:rPr>
        <w:fldChar w:fldCharType="end"/>
      </w:r>
    </w:p>
    <w:p w14:paraId="27A40767" w14:textId="77777777" w:rsidR="00026D05" w:rsidRPr="000412F2" w:rsidRDefault="00026D05" w:rsidP="00026D05">
      <w:pPr>
        <w:pStyle w:val="Default"/>
        <w:spacing w:after="120" w:line="276" w:lineRule="auto"/>
        <w:ind w:left="142" w:right="-285" w:hanging="426"/>
        <w:jc w:val="both"/>
        <w:rPr>
          <w:rFonts w:asciiTheme="majorBidi" w:hAnsiTheme="majorBidi"/>
        </w:rPr>
      </w:pPr>
      <w:r w:rsidRPr="000412F2">
        <w:rPr>
          <w:rFonts w:asciiTheme="majorBidi" w:hAnsiTheme="majorBidi"/>
        </w:rPr>
        <w:t>Uttal, David H, Kathyrn V.Scudder, &amp; Judy S. Deloache. 1997. Manipulative as Symbols : A new Perspective on the Use of Concrete Object to Teach Mathematics</w:t>
      </w:r>
      <w:r w:rsidRPr="000412F2">
        <w:rPr>
          <w:rFonts w:asciiTheme="majorBidi" w:hAnsiTheme="majorBidi"/>
          <w:i/>
        </w:rPr>
        <w:t>. Journal of Applied Developmental Psychology</w:t>
      </w:r>
      <w:r w:rsidRPr="000412F2">
        <w:rPr>
          <w:rFonts w:asciiTheme="majorBidi" w:hAnsiTheme="majorBidi"/>
        </w:rPr>
        <w:t>, 18(1) : 37-54.</w:t>
      </w:r>
    </w:p>
    <w:p w14:paraId="1ED8A162" w14:textId="77777777" w:rsidR="00026D05" w:rsidRDefault="00026D05"/>
    <w:sectPr w:rsidR="00026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05"/>
    <w:rsid w:val="0002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BAE1"/>
  <w15:chartTrackingRefBased/>
  <w15:docId w15:val="{D79E794A-0B9C-4B52-8064-D27F55EA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D0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6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2023-09-11T04:07:00Z</dcterms:created>
  <dcterms:modified xsi:type="dcterms:W3CDTF">2023-09-11T04:10:00Z</dcterms:modified>
</cp:coreProperties>
</file>