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F81" w:rsidRDefault="00447F81" w:rsidP="00447F81">
      <w:pPr>
        <w:spacing w:after="0" w:line="240" w:lineRule="auto"/>
        <w:jc w:val="center"/>
        <w:rPr>
          <w:rFonts w:ascii="Times New Roman" w:hAnsi="Times New Roman" w:cs="Times New Roman"/>
          <w:b/>
          <w:sz w:val="32"/>
          <w:szCs w:val="32"/>
        </w:rPr>
      </w:pPr>
    </w:p>
    <w:p w:rsidR="00E24C02" w:rsidRPr="0030390C" w:rsidRDefault="00E24C02" w:rsidP="00E24C02">
      <w:pPr>
        <w:spacing w:after="0" w:line="240" w:lineRule="auto"/>
        <w:jc w:val="center"/>
        <w:rPr>
          <w:rFonts w:ascii="Book Antiqua" w:hAnsi="Book Antiqua" w:cs="Times New Roman"/>
          <w:b/>
          <w:sz w:val="56"/>
          <w:szCs w:val="56"/>
        </w:rPr>
      </w:pPr>
      <w:r w:rsidRPr="0030390C">
        <w:rPr>
          <w:rFonts w:ascii="Book Antiqua" w:hAnsi="Book Antiqua" w:cs="Times New Roman"/>
          <w:b/>
          <w:sz w:val="56"/>
          <w:szCs w:val="56"/>
        </w:rPr>
        <w:t>DIKTAT</w:t>
      </w:r>
    </w:p>
    <w:p w:rsidR="00447F81" w:rsidRDefault="00447F81" w:rsidP="00447F81">
      <w:pPr>
        <w:spacing w:after="0" w:line="240" w:lineRule="auto"/>
        <w:jc w:val="center"/>
        <w:rPr>
          <w:rFonts w:ascii="Times New Roman" w:hAnsi="Times New Roman" w:cs="Times New Roman"/>
          <w:b/>
          <w:sz w:val="32"/>
          <w:szCs w:val="32"/>
        </w:rPr>
      </w:pPr>
    </w:p>
    <w:p w:rsidR="00E24C02" w:rsidRDefault="00E24C02" w:rsidP="00447F81">
      <w:pPr>
        <w:spacing w:after="0" w:line="240" w:lineRule="auto"/>
        <w:jc w:val="center"/>
        <w:rPr>
          <w:rFonts w:ascii="Times New Roman" w:hAnsi="Times New Roman" w:cs="Times New Roman"/>
          <w:b/>
          <w:sz w:val="32"/>
          <w:szCs w:val="32"/>
        </w:rPr>
      </w:pPr>
    </w:p>
    <w:p w:rsidR="00E24C02" w:rsidRDefault="00E24C02" w:rsidP="00447F81">
      <w:pPr>
        <w:spacing w:after="0" w:line="240" w:lineRule="auto"/>
        <w:jc w:val="center"/>
        <w:rPr>
          <w:rFonts w:ascii="Times New Roman" w:hAnsi="Times New Roman" w:cs="Times New Roman"/>
          <w:b/>
          <w:sz w:val="32"/>
          <w:szCs w:val="32"/>
        </w:rPr>
      </w:pPr>
    </w:p>
    <w:p w:rsidR="00447F81" w:rsidRPr="0030390C" w:rsidRDefault="00447F81" w:rsidP="00447F81">
      <w:pPr>
        <w:spacing w:after="0" w:line="240" w:lineRule="auto"/>
        <w:jc w:val="center"/>
        <w:rPr>
          <w:rFonts w:ascii="Book Antiqua" w:hAnsi="Book Antiqua" w:cs="Times New Roman"/>
          <w:b/>
          <w:sz w:val="56"/>
          <w:szCs w:val="56"/>
        </w:rPr>
      </w:pPr>
      <w:r w:rsidRPr="0030390C">
        <w:rPr>
          <w:rFonts w:ascii="Book Antiqua" w:hAnsi="Book Antiqua" w:cs="Times New Roman"/>
          <w:b/>
          <w:sz w:val="56"/>
          <w:szCs w:val="56"/>
        </w:rPr>
        <w:t>FILSAFAT HUKUM</w:t>
      </w: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p>
    <w:p w:rsidR="00447F81" w:rsidRPr="0030390C" w:rsidRDefault="00447F81" w:rsidP="00447F81">
      <w:pPr>
        <w:spacing w:after="0" w:line="240" w:lineRule="auto"/>
        <w:jc w:val="center"/>
        <w:rPr>
          <w:rFonts w:ascii="Book Antiqua" w:hAnsi="Book Antiqua" w:cs="Times New Roman"/>
          <w:b/>
          <w:sz w:val="56"/>
          <w:szCs w:val="56"/>
        </w:rPr>
      </w:pPr>
      <w:r w:rsidRPr="0030390C">
        <w:rPr>
          <w:rFonts w:ascii="Book Antiqua" w:eastAsia="Times New Roman" w:hAnsi="Book Antiqua" w:cs="Times New Roman"/>
          <w:noProof/>
        </w:rPr>
        <w:drawing>
          <wp:inline distT="0" distB="0" distL="0" distR="0">
            <wp:extent cx="2094614" cy="2147777"/>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321" cy="2165933"/>
                    </a:xfrm>
                    <a:prstGeom prst="rect">
                      <a:avLst/>
                    </a:prstGeom>
                    <a:noFill/>
                    <a:ln>
                      <a:noFill/>
                    </a:ln>
                  </pic:spPr>
                </pic:pic>
              </a:graphicData>
            </a:graphic>
          </wp:inline>
        </w:drawing>
      </w: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YOGI PRASETYO</w:t>
      </w:r>
      <w:r w:rsidR="00D53458">
        <w:rPr>
          <w:rFonts w:ascii="Book Antiqua" w:hAnsi="Book Antiqua" w:cs="Times New Roman"/>
          <w:b/>
          <w:sz w:val="32"/>
          <w:szCs w:val="32"/>
        </w:rPr>
        <w:t>. SH. MH</w:t>
      </w: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447F81">
      <w:pPr>
        <w:spacing w:after="0" w:line="240" w:lineRule="auto"/>
        <w:jc w:val="center"/>
        <w:rPr>
          <w:rFonts w:ascii="Book Antiqua" w:hAnsi="Book Antiqua" w:cs="Times New Roman"/>
          <w:b/>
          <w:sz w:val="32"/>
          <w:szCs w:val="32"/>
        </w:rPr>
      </w:pPr>
    </w:p>
    <w:p w:rsidR="00447F81" w:rsidRPr="0030390C" w:rsidRDefault="00447F81" w:rsidP="00E24C02">
      <w:pPr>
        <w:spacing w:after="0" w:line="240" w:lineRule="auto"/>
        <w:rPr>
          <w:rFonts w:ascii="Book Antiqua" w:hAnsi="Book Antiqua" w:cs="Times New Roman"/>
          <w:b/>
          <w:sz w:val="32"/>
          <w:szCs w:val="32"/>
        </w:rPr>
      </w:pPr>
    </w:p>
    <w:p w:rsidR="00447F81" w:rsidRPr="0030390C" w:rsidRDefault="00447F81" w:rsidP="00447F81">
      <w:pPr>
        <w:spacing w:after="0" w:line="240" w:lineRule="auto"/>
        <w:rPr>
          <w:rFonts w:ascii="Book Antiqua" w:hAnsi="Book Antiqua" w:cs="Times New Roman"/>
          <w:b/>
          <w:sz w:val="32"/>
          <w:szCs w:val="32"/>
        </w:rPr>
      </w:pPr>
    </w:p>
    <w:p w:rsidR="00447F81" w:rsidRDefault="00447F81"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UNIVERSITAS MUHAMMADIYAH PONOROGO</w:t>
      </w:r>
    </w:p>
    <w:p w:rsidR="00E24C02" w:rsidRPr="0030390C" w:rsidRDefault="00E24C02" w:rsidP="00447F81">
      <w:pPr>
        <w:spacing w:after="0" w:line="240" w:lineRule="auto"/>
        <w:jc w:val="center"/>
        <w:rPr>
          <w:rFonts w:ascii="Book Antiqua" w:hAnsi="Book Antiqua" w:cs="Times New Roman"/>
          <w:b/>
          <w:sz w:val="32"/>
          <w:szCs w:val="32"/>
        </w:rPr>
      </w:pPr>
      <w:r>
        <w:rPr>
          <w:rFonts w:ascii="Book Antiqua" w:hAnsi="Book Antiqua" w:cs="Times New Roman"/>
          <w:b/>
          <w:sz w:val="32"/>
          <w:szCs w:val="32"/>
        </w:rPr>
        <w:t>FAKULTAS HUKUM</w:t>
      </w:r>
    </w:p>
    <w:p w:rsidR="00447F81" w:rsidRPr="0030390C" w:rsidRDefault="00E24C02" w:rsidP="00447F81">
      <w:pPr>
        <w:spacing w:after="0" w:line="240" w:lineRule="auto"/>
        <w:jc w:val="center"/>
        <w:rPr>
          <w:rFonts w:ascii="Book Antiqua" w:hAnsi="Book Antiqua" w:cs="Times New Roman"/>
          <w:b/>
          <w:sz w:val="32"/>
          <w:szCs w:val="32"/>
        </w:rPr>
      </w:pPr>
      <w:r>
        <w:rPr>
          <w:rFonts w:ascii="Book Antiqua" w:hAnsi="Book Antiqua" w:cs="Times New Roman"/>
          <w:b/>
          <w:sz w:val="32"/>
          <w:szCs w:val="32"/>
        </w:rPr>
        <w:t>TAHUN 2017</w:t>
      </w:r>
    </w:p>
    <w:p w:rsidR="00447F81" w:rsidRPr="0030390C" w:rsidRDefault="00447F81" w:rsidP="00447F81">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DAFTAR ISI</w:t>
      </w:r>
    </w:p>
    <w:p w:rsidR="00447F81" w:rsidRPr="0030390C" w:rsidRDefault="00447F81" w:rsidP="00447F81">
      <w:pPr>
        <w:spacing w:after="0" w:line="240" w:lineRule="auto"/>
        <w:jc w:val="both"/>
        <w:rPr>
          <w:rFonts w:ascii="Book Antiqua" w:hAnsi="Book Antiqua" w:cs="Times New Roman"/>
          <w:b/>
          <w:sz w:val="32"/>
          <w:szCs w:val="32"/>
        </w:rPr>
      </w:pPr>
    </w:p>
    <w:p w:rsidR="00447F81" w:rsidRPr="0030390C" w:rsidRDefault="00447F81" w:rsidP="00447F81">
      <w:pPr>
        <w:spacing w:after="0" w:line="240" w:lineRule="auto"/>
        <w:jc w:val="both"/>
        <w:rPr>
          <w:rFonts w:ascii="Book Antiqua" w:hAnsi="Book Antiqua" w:cs="Times New Roman"/>
          <w:b/>
          <w:sz w:val="32"/>
          <w:szCs w:val="32"/>
        </w:rPr>
      </w:pPr>
    </w:p>
    <w:p w:rsidR="00447F81" w:rsidRPr="0030390C" w:rsidRDefault="00447F81" w:rsidP="00447F81">
      <w:pPr>
        <w:spacing w:after="0" w:line="480" w:lineRule="auto"/>
        <w:jc w:val="both"/>
        <w:rPr>
          <w:rFonts w:ascii="Book Antiqua" w:hAnsi="Book Antiqua" w:cs="Times New Roman"/>
          <w:b/>
          <w:sz w:val="32"/>
          <w:szCs w:val="32"/>
        </w:rPr>
      </w:pPr>
      <w:r w:rsidRPr="0030390C">
        <w:rPr>
          <w:rFonts w:ascii="Book Antiqua" w:hAnsi="Book Antiqua" w:cs="Times New Roman"/>
          <w:b/>
          <w:sz w:val="32"/>
          <w:szCs w:val="32"/>
        </w:rPr>
        <w:t>BAB 1 Pemahaman Tentang Hukum</w:t>
      </w:r>
      <w:r w:rsidR="00B611A3">
        <w:rPr>
          <w:rFonts w:ascii="Book Antiqua" w:hAnsi="Book Antiqua" w:cs="Times New Roman"/>
          <w:b/>
          <w:sz w:val="32"/>
          <w:szCs w:val="32"/>
        </w:rPr>
        <w:t>...3</w:t>
      </w:r>
    </w:p>
    <w:p w:rsidR="00447F81" w:rsidRPr="0030390C" w:rsidRDefault="00447F81" w:rsidP="00447F81">
      <w:pPr>
        <w:spacing w:after="0" w:line="480" w:lineRule="auto"/>
        <w:jc w:val="both"/>
        <w:rPr>
          <w:rFonts w:ascii="Book Antiqua" w:hAnsi="Book Antiqua" w:cs="Times New Roman"/>
          <w:b/>
          <w:sz w:val="32"/>
          <w:szCs w:val="32"/>
        </w:rPr>
      </w:pPr>
      <w:r w:rsidRPr="0030390C">
        <w:rPr>
          <w:rFonts w:ascii="Book Antiqua" w:hAnsi="Book Antiqua" w:cs="Times New Roman"/>
          <w:b/>
          <w:sz w:val="32"/>
          <w:szCs w:val="32"/>
        </w:rPr>
        <w:t>BAB 2 Berpikir Filsafat</w:t>
      </w:r>
      <w:r w:rsidR="00B611A3">
        <w:rPr>
          <w:rFonts w:ascii="Book Antiqua" w:hAnsi="Book Antiqua" w:cs="Times New Roman"/>
          <w:b/>
          <w:sz w:val="32"/>
          <w:szCs w:val="32"/>
        </w:rPr>
        <w:t>...</w:t>
      </w:r>
      <w:r w:rsidR="00331D00">
        <w:rPr>
          <w:rFonts w:ascii="Book Antiqua" w:hAnsi="Book Antiqua" w:cs="Times New Roman"/>
          <w:b/>
          <w:sz w:val="32"/>
          <w:szCs w:val="32"/>
        </w:rPr>
        <w:t>9</w:t>
      </w:r>
    </w:p>
    <w:p w:rsidR="00447F81" w:rsidRPr="0030390C" w:rsidRDefault="00447F81" w:rsidP="00447F81">
      <w:pPr>
        <w:spacing w:after="0" w:line="480" w:lineRule="auto"/>
        <w:jc w:val="both"/>
        <w:rPr>
          <w:rFonts w:ascii="Book Antiqua" w:hAnsi="Book Antiqua" w:cs="Times New Roman"/>
          <w:b/>
          <w:sz w:val="32"/>
          <w:szCs w:val="32"/>
        </w:rPr>
      </w:pPr>
      <w:r w:rsidRPr="0030390C">
        <w:rPr>
          <w:rFonts w:ascii="Book Antiqua" w:hAnsi="Book Antiqua" w:cs="Times New Roman"/>
          <w:b/>
          <w:sz w:val="32"/>
          <w:szCs w:val="32"/>
        </w:rPr>
        <w:t xml:space="preserve">BAB 3 </w:t>
      </w:r>
      <w:r w:rsidR="006A0DAB">
        <w:rPr>
          <w:rFonts w:ascii="Book Antiqua" w:hAnsi="Book Antiqua" w:cs="Times New Roman"/>
          <w:b/>
          <w:sz w:val="32"/>
          <w:szCs w:val="32"/>
        </w:rPr>
        <w:t xml:space="preserve">Sejarah </w:t>
      </w:r>
      <w:r w:rsidRPr="0030390C">
        <w:rPr>
          <w:rFonts w:ascii="Book Antiqua" w:hAnsi="Book Antiqua" w:cs="Times New Roman"/>
          <w:b/>
          <w:sz w:val="32"/>
          <w:szCs w:val="32"/>
        </w:rPr>
        <w:t>Pemikiran Hukum</w:t>
      </w:r>
      <w:r w:rsidR="00331D00">
        <w:rPr>
          <w:rFonts w:ascii="Book Antiqua" w:hAnsi="Book Antiqua" w:cs="Times New Roman"/>
          <w:b/>
          <w:sz w:val="32"/>
          <w:szCs w:val="32"/>
        </w:rPr>
        <w:t>...18</w:t>
      </w:r>
    </w:p>
    <w:p w:rsidR="00447F81"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4 Nalar Empiris</w:t>
      </w:r>
      <w:r w:rsidR="00331D00">
        <w:rPr>
          <w:rFonts w:ascii="Book Antiqua" w:hAnsi="Book Antiqua" w:cs="Times New Roman"/>
          <w:b/>
          <w:sz w:val="32"/>
          <w:szCs w:val="32"/>
        </w:rPr>
        <w:t>...31</w:t>
      </w:r>
    </w:p>
    <w:p w:rsidR="006A0DAB"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5 Nalar Empirism Hukum</w:t>
      </w:r>
      <w:r w:rsidR="00331D00">
        <w:rPr>
          <w:rFonts w:ascii="Book Antiqua" w:hAnsi="Book Antiqua" w:cs="Times New Roman"/>
          <w:b/>
          <w:sz w:val="32"/>
          <w:szCs w:val="32"/>
        </w:rPr>
        <w:t>...44</w:t>
      </w:r>
    </w:p>
    <w:p w:rsidR="00447F81"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6</w:t>
      </w:r>
      <w:r w:rsidR="00447F81" w:rsidRPr="0030390C">
        <w:rPr>
          <w:rFonts w:ascii="Book Antiqua" w:hAnsi="Book Antiqua" w:cs="Times New Roman"/>
          <w:b/>
          <w:sz w:val="32"/>
          <w:szCs w:val="32"/>
        </w:rPr>
        <w:t xml:space="preserve"> </w:t>
      </w:r>
      <w:r>
        <w:rPr>
          <w:rFonts w:ascii="Book Antiqua" w:hAnsi="Book Antiqua" w:cs="Times New Roman"/>
          <w:b/>
          <w:sz w:val="32"/>
          <w:szCs w:val="32"/>
        </w:rPr>
        <w:t>Nalar Rasional</w:t>
      </w:r>
      <w:r w:rsidR="00331D00">
        <w:rPr>
          <w:rFonts w:ascii="Book Antiqua" w:hAnsi="Book Antiqua" w:cs="Times New Roman"/>
          <w:b/>
          <w:sz w:val="32"/>
          <w:szCs w:val="32"/>
        </w:rPr>
        <w:t>...66</w:t>
      </w:r>
    </w:p>
    <w:p w:rsidR="006A0DAB"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7 Nalar Rasional Hukum</w:t>
      </w:r>
      <w:r w:rsidR="00331D00">
        <w:rPr>
          <w:rFonts w:ascii="Book Antiqua" w:hAnsi="Book Antiqua" w:cs="Times New Roman"/>
          <w:b/>
          <w:sz w:val="32"/>
          <w:szCs w:val="32"/>
        </w:rPr>
        <w:t>...75</w:t>
      </w:r>
    </w:p>
    <w:p w:rsidR="00447F81"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8 Nalar Intuisi</w:t>
      </w:r>
      <w:r w:rsidR="00331D00">
        <w:rPr>
          <w:rFonts w:ascii="Book Antiqua" w:hAnsi="Book Antiqua" w:cs="Times New Roman"/>
          <w:b/>
          <w:sz w:val="32"/>
          <w:szCs w:val="32"/>
        </w:rPr>
        <w:t>...105</w:t>
      </w:r>
    </w:p>
    <w:p w:rsidR="00447F81"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9 Nalar Intuisi Hukum</w:t>
      </w:r>
      <w:r w:rsidR="00331D00">
        <w:rPr>
          <w:rFonts w:ascii="Book Antiqua" w:hAnsi="Book Antiqua" w:cs="Times New Roman"/>
          <w:b/>
          <w:sz w:val="32"/>
          <w:szCs w:val="32"/>
        </w:rPr>
        <w:t>...121</w:t>
      </w:r>
    </w:p>
    <w:p w:rsidR="00447F81"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10</w:t>
      </w:r>
      <w:r w:rsidR="00447F81" w:rsidRPr="0030390C">
        <w:rPr>
          <w:rFonts w:ascii="Book Antiqua" w:hAnsi="Book Antiqua" w:cs="Times New Roman"/>
          <w:b/>
          <w:sz w:val="32"/>
          <w:szCs w:val="32"/>
        </w:rPr>
        <w:t xml:space="preserve"> </w:t>
      </w:r>
      <w:r>
        <w:rPr>
          <w:rFonts w:ascii="Book Antiqua" w:hAnsi="Book Antiqua" w:cs="Times New Roman"/>
          <w:b/>
          <w:sz w:val="32"/>
          <w:szCs w:val="32"/>
        </w:rPr>
        <w:t>Dialektik Nalar Empirism Dan Rasional Hukum</w:t>
      </w:r>
      <w:r w:rsidR="00331D00">
        <w:rPr>
          <w:rFonts w:ascii="Book Antiqua" w:hAnsi="Book Antiqua" w:cs="Times New Roman"/>
          <w:b/>
          <w:sz w:val="32"/>
          <w:szCs w:val="32"/>
        </w:rPr>
        <w:t>...140</w:t>
      </w:r>
    </w:p>
    <w:p w:rsidR="00447F81" w:rsidRPr="0030390C" w:rsidRDefault="006A0DAB" w:rsidP="00447F81">
      <w:pPr>
        <w:spacing w:after="0" w:line="480" w:lineRule="auto"/>
        <w:jc w:val="both"/>
        <w:rPr>
          <w:rFonts w:ascii="Book Antiqua" w:hAnsi="Book Antiqua" w:cs="Times New Roman"/>
          <w:b/>
          <w:sz w:val="32"/>
          <w:szCs w:val="32"/>
        </w:rPr>
      </w:pPr>
      <w:r>
        <w:rPr>
          <w:rFonts w:ascii="Book Antiqua" w:hAnsi="Book Antiqua" w:cs="Times New Roman"/>
          <w:b/>
          <w:sz w:val="32"/>
          <w:szCs w:val="32"/>
        </w:rPr>
        <w:t>BAB 11</w:t>
      </w:r>
      <w:r w:rsidR="00447F81" w:rsidRPr="0030390C">
        <w:rPr>
          <w:rFonts w:ascii="Book Antiqua" w:hAnsi="Book Antiqua" w:cs="Times New Roman"/>
          <w:b/>
          <w:sz w:val="32"/>
          <w:szCs w:val="32"/>
        </w:rPr>
        <w:t xml:space="preserve"> </w:t>
      </w:r>
      <w:r>
        <w:rPr>
          <w:rFonts w:ascii="Book Antiqua" w:hAnsi="Book Antiqua" w:cs="Times New Roman"/>
          <w:b/>
          <w:sz w:val="32"/>
          <w:szCs w:val="32"/>
        </w:rPr>
        <w:t>Dialektik Nalar Empirism Dan Intuisi Hukum</w:t>
      </w:r>
      <w:r w:rsidR="00704DEF">
        <w:rPr>
          <w:rFonts w:ascii="Book Antiqua" w:hAnsi="Book Antiqua" w:cs="Times New Roman"/>
          <w:b/>
          <w:sz w:val="32"/>
          <w:szCs w:val="32"/>
        </w:rPr>
        <w:t>...162</w:t>
      </w:r>
    </w:p>
    <w:p w:rsidR="006A0DAB" w:rsidRDefault="006A0DAB" w:rsidP="006A0DAB">
      <w:pPr>
        <w:spacing w:after="0" w:line="480" w:lineRule="auto"/>
        <w:jc w:val="both"/>
        <w:rPr>
          <w:rFonts w:ascii="Book Antiqua" w:hAnsi="Book Antiqua" w:cs="Times New Roman"/>
          <w:b/>
          <w:sz w:val="32"/>
          <w:szCs w:val="32"/>
        </w:rPr>
      </w:pPr>
      <w:r>
        <w:rPr>
          <w:rFonts w:ascii="Book Antiqua" w:hAnsi="Book Antiqua" w:cs="Times New Roman"/>
          <w:b/>
          <w:sz w:val="32"/>
          <w:szCs w:val="32"/>
        </w:rPr>
        <w:t>BAB 12 Dialektik Nalar Rasional Dan Intuisi Hukum</w:t>
      </w:r>
      <w:r w:rsidR="008429BD">
        <w:rPr>
          <w:rFonts w:ascii="Book Antiqua" w:hAnsi="Book Antiqua" w:cs="Times New Roman"/>
          <w:b/>
          <w:sz w:val="32"/>
          <w:szCs w:val="32"/>
        </w:rPr>
        <w:t>...172</w:t>
      </w:r>
    </w:p>
    <w:p w:rsidR="008258F9" w:rsidRDefault="008258F9" w:rsidP="006A0DAB">
      <w:pPr>
        <w:spacing w:after="0" w:line="480" w:lineRule="auto"/>
        <w:jc w:val="both"/>
        <w:rPr>
          <w:rFonts w:ascii="Book Antiqua" w:hAnsi="Book Antiqua" w:cs="Times New Roman"/>
          <w:b/>
          <w:sz w:val="32"/>
          <w:szCs w:val="32"/>
        </w:rPr>
      </w:pPr>
      <w:r>
        <w:rPr>
          <w:rFonts w:ascii="Book Antiqua" w:hAnsi="Book Antiqua" w:cs="Times New Roman"/>
          <w:b/>
          <w:sz w:val="32"/>
          <w:szCs w:val="32"/>
        </w:rPr>
        <w:t>BAB 13 Konsep Konvergensi Hukum</w:t>
      </w:r>
      <w:r w:rsidR="008429BD">
        <w:rPr>
          <w:rFonts w:ascii="Book Antiqua" w:hAnsi="Book Antiqua" w:cs="Times New Roman"/>
          <w:b/>
          <w:sz w:val="32"/>
          <w:szCs w:val="32"/>
        </w:rPr>
        <w:t>...189</w:t>
      </w:r>
    </w:p>
    <w:p w:rsidR="005D518C" w:rsidRPr="0030390C" w:rsidRDefault="005D518C" w:rsidP="006A0DAB">
      <w:pPr>
        <w:spacing w:after="0" w:line="480" w:lineRule="auto"/>
        <w:jc w:val="both"/>
        <w:rPr>
          <w:rFonts w:ascii="Book Antiqua" w:hAnsi="Book Antiqua" w:cs="Times New Roman"/>
          <w:b/>
          <w:sz w:val="32"/>
          <w:szCs w:val="32"/>
        </w:rPr>
      </w:pPr>
      <w:r>
        <w:rPr>
          <w:rFonts w:ascii="Book Antiqua" w:hAnsi="Book Antiqua" w:cs="Times New Roman"/>
          <w:b/>
          <w:sz w:val="32"/>
          <w:szCs w:val="32"/>
        </w:rPr>
        <w:t>DAFTAR PUSTAKA....261</w:t>
      </w:r>
    </w:p>
    <w:p w:rsidR="00447F81" w:rsidRPr="0030390C" w:rsidRDefault="00447F81" w:rsidP="00447F81">
      <w:pPr>
        <w:spacing w:after="0" w:line="480" w:lineRule="auto"/>
        <w:jc w:val="both"/>
        <w:rPr>
          <w:rFonts w:ascii="Book Antiqua" w:hAnsi="Book Antiqua" w:cs="Times New Roman"/>
          <w:b/>
          <w:sz w:val="32"/>
          <w:szCs w:val="32"/>
        </w:rPr>
      </w:pPr>
    </w:p>
    <w:p w:rsidR="007C7B36" w:rsidRPr="0030390C" w:rsidRDefault="007C7B36" w:rsidP="00447F81">
      <w:pPr>
        <w:jc w:val="both"/>
        <w:rPr>
          <w:rFonts w:ascii="Book Antiqua" w:hAnsi="Book Antiqua"/>
        </w:rPr>
      </w:pPr>
    </w:p>
    <w:p w:rsidR="0001073F" w:rsidRPr="0030390C" w:rsidRDefault="0001073F" w:rsidP="00447F81">
      <w:pPr>
        <w:jc w:val="both"/>
        <w:rPr>
          <w:rFonts w:ascii="Book Antiqua" w:hAnsi="Book Antiqua"/>
        </w:rPr>
      </w:pPr>
    </w:p>
    <w:p w:rsidR="0001073F" w:rsidRPr="0030390C" w:rsidRDefault="0001073F" w:rsidP="00447F81">
      <w:pPr>
        <w:jc w:val="both"/>
        <w:rPr>
          <w:rFonts w:ascii="Book Antiqua" w:hAnsi="Book Antiqua"/>
        </w:rPr>
      </w:pPr>
    </w:p>
    <w:p w:rsidR="0001073F" w:rsidRPr="0030390C" w:rsidRDefault="0001073F" w:rsidP="00447F81">
      <w:pPr>
        <w:jc w:val="both"/>
        <w:rPr>
          <w:rFonts w:ascii="Book Antiqua" w:hAnsi="Book Antiqua"/>
        </w:rPr>
      </w:pPr>
    </w:p>
    <w:p w:rsidR="008258F9" w:rsidRDefault="008258F9" w:rsidP="008258F9">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BAB 1 Pemahaman Tentang Hukum</w:t>
      </w:r>
    </w:p>
    <w:p w:rsidR="00D20AF2" w:rsidRDefault="00D20AF2" w:rsidP="008258F9">
      <w:pPr>
        <w:spacing w:after="0" w:line="240" w:lineRule="auto"/>
        <w:jc w:val="center"/>
        <w:rPr>
          <w:rFonts w:ascii="Book Antiqua" w:hAnsi="Book Antiqua" w:cs="Times New Roman"/>
          <w:b/>
          <w:sz w:val="32"/>
          <w:szCs w:val="32"/>
        </w:rPr>
      </w:pP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Suatu proses bersifat mendasar dan tidak pernah selesai dalam sejarah panjang kehidupan manusia yang sering menjadi bahan kajian utama ilmu pengetahuan adalah tentang apa yang disebut kebenaran.</w:t>
      </w:r>
      <w:r w:rsidRPr="00D20AF2">
        <w:rPr>
          <w:rStyle w:val="FootnoteReference"/>
          <w:rFonts w:ascii="Book Antiqua" w:hAnsi="Book Antiqua" w:cs="Arial"/>
          <w:sz w:val="24"/>
          <w:szCs w:val="24"/>
        </w:rPr>
        <w:footnoteReference w:id="2"/>
      </w:r>
      <w:r w:rsidRPr="00D20AF2">
        <w:rPr>
          <w:rFonts w:ascii="Book Antiqua" w:hAnsi="Book Antiqua" w:cs="Arial"/>
          <w:sz w:val="24"/>
          <w:szCs w:val="24"/>
        </w:rPr>
        <w:t xml:space="preserve"> Cara pandang filsafat dan agama sebagai dua kekuatan bersifat fundamental yang membentuk konstruksi sebuah kebenaran bagi ilmu pengetahuan. Manusia sebagai mahluk yang memiliki sarana penalaran lebih dibandingkan dengan mahluk yang lain pada hakikatnya mempunyai keinginan untuk selalu mencari kebenaran melalui ilmu pengetahuannya. Suatu ilmu pengetahuan bukan saja merupakan hasil, tetapi juga proses dari usaha manusia untuk mencapai kebenaran. Dalam gerak lintas sejarah kehidupan manusia didunia ini senantiasa disibukkan oleh berbagai pertanyaan mendasar tentang sebuah kebenaran. Jawaban yang bersifat spekulatif hingga jawaban yang bersifat mutlak coba digunakan oleh para begawan ilmu pengetahuan sepanjang masa, sehingga tidak mengherankan jika jawaban-jawaban yang diajukan tersebut dapat berupa kesesuaian atau kesamaan yang saling mendukung dan juga dapat berupa ketidaksesuaian atau perbedaan yang kontradiktif satu dengan yang lainnya. Oleh karena itu, fenomena ilmu pengetahuan dalam memahami kebenaran menjadi bagian dari kehidupan manusia yang tidak dapat terpisahkan dalam upayamanusia mencari sebuah alternatif penyelesaian atas berbagai permasalahan yang terjadi.</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lastRenderedPageBreak/>
        <w:t>Kebenaran yang menjadi perdebatan manusia pada dasarnya sangat terkait dengan ilmu pengetahuan manusia itu sendiri, seberapa valid manusia mengatakan sebuah kebenaran akan dilihat dari seberapa baikdan kualitas ilmu pengetahuan yang dipahami oleh manusia tersebut. Ilmu pengetahuan yang dimiliki manusia dalam arti sempit dapat dikatakan sebagai sebuah keputusan yang diambil dari inti sari ilmu pengetahuan yang mengandung nilai-nilai kebenaran tertentu,sepertidikemukakan bahwa sesuatu pengetahuan (</w:t>
      </w:r>
      <w:r w:rsidRPr="00D20AF2">
        <w:rPr>
          <w:rFonts w:ascii="Book Antiqua" w:hAnsi="Book Antiqua" w:cs="Arial"/>
          <w:i/>
          <w:sz w:val="24"/>
          <w:szCs w:val="24"/>
        </w:rPr>
        <w:t>knowledge</w:t>
      </w:r>
      <w:r w:rsidRPr="00D20AF2">
        <w:rPr>
          <w:rFonts w:ascii="Book Antiqua" w:hAnsi="Book Antiqua" w:cs="Arial"/>
          <w:sz w:val="24"/>
          <w:szCs w:val="24"/>
        </w:rPr>
        <w:t>) harus merupakan suatu kebenaran (</w:t>
      </w:r>
      <w:r w:rsidRPr="00D20AF2">
        <w:rPr>
          <w:rFonts w:ascii="Book Antiqua" w:hAnsi="Book Antiqua" w:cs="Arial"/>
          <w:i/>
          <w:sz w:val="24"/>
          <w:szCs w:val="24"/>
        </w:rPr>
        <w:t>truth</w:t>
      </w:r>
      <w:r w:rsidRPr="00D20AF2">
        <w:rPr>
          <w:rFonts w:ascii="Book Antiqua" w:hAnsi="Book Antiqua" w:cs="Arial"/>
          <w:sz w:val="24"/>
          <w:szCs w:val="24"/>
        </w:rPr>
        <w:t>).</w:t>
      </w:r>
      <w:r w:rsidRPr="00D20AF2">
        <w:rPr>
          <w:rStyle w:val="FootnoteReference"/>
          <w:rFonts w:ascii="Book Antiqua" w:hAnsi="Book Antiqua" w:cs="Arial"/>
          <w:sz w:val="24"/>
          <w:szCs w:val="24"/>
        </w:rPr>
        <w:footnoteReference w:id="3"/>
      </w:r>
      <w:r w:rsidRPr="00D20AF2">
        <w:rPr>
          <w:rFonts w:ascii="Book Antiqua" w:hAnsi="Book Antiqua" w:cs="Arial"/>
          <w:sz w:val="24"/>
          <w:szCs w:val="24"/>
        </w:rPr>
        <w:t>Oleh karena itu, manusia untuk mendapatkan kebenaran yang baik harus memahami berbagai ilmu pengetahuan.</w:t>
      </w:r>
      <w:r w:rsidRPr="00D20AF2">
        <w:rPr>
          <w:rStyle w:val="FootnoteReference"/>
          <w:rFonts w:ascii="Book Antiqua" w:hAnsi="Book Antiqua" w:cs="Arial"/>
          <w:sz w:val="24"/>
          <w:szCs w:val="24"/>
        </w:rPr>
        <w:footnoteReference w:id="4"/>
      </w:r>
      <w:r w:rsidRPr="00D20AF2">
        <w:rPr>
          <w:rFonts w:ascii="Book Antiqua" w:hAnsi="Book Antiqua" w:cs="Arial"/>
          <w:sz w:val="24"/>
          <w:szCs w:val="24"/>
        </w:rPr>
        <w:t xml:space="preserve">Manusia untuk mendapat kebenaranharus mampu menggali ilmu pengetahuan dari berbagai sumber dengan sarana penalarannya, sehingga dengan demikian, maka tidak dapat dilepaskan keterkaitan antara kebenaran dengan ilmu pengetahuan. Hal ini seiring dengan perkembangan iptek dalam dekadensi zaman yang semakin cepat gerak dinamikanya, sehingga dapat menimbulkan permasalahan yang kompleks dalam kehidupan manusia.Kebenaran yang diperoleh manusia pada dasarnya tidak lepas dari suatu epistemologi, karena epistemologi sebagai bagian dari cabang filsafat ilmu yang secara serius mengkaji tentang bagaimana proses menggali dan memperoleh kebenaran ilmu pengetahuan melalui sarana penalaran manusia. Epistemologi mengkaji beberapa persoalan pokok yang terkait dengan hakikat atau esensi, eksistensi dan ruang lingkup ilmu pengetahuan, sumber-sumber ilmu pengetahuan, metodologi ilmu pengetahuan yaitu tentang cara memahami suatu ilmu pengetahuan, sarana yang digunakan dalam rangka melaksanakan kerja </w:t>
      </w:r>
      <w:r w:rsidRPr="00D20AF2">
        <w:rPr>
          <w:rFonts w:ascii="Book Antiqua" w:hAnsi="Book Antiqua" w:cs="Arial"/>
          <w:sz w:val="24"/>
          <w:szCs w:val="24"/>
        </w:rPr>
        <w:lastRenderedPageBreak/>
        <w:t>metodologi tersebut dan uji validitas terhadap kebenaran yang dihasilkan ilmu pengetahuan tersebut.</w:t>
      </w:r>
      <w:r w:rsidRPr="00D20AF2">
        <w:rPr>
          <w:rStyle w:val="FootnoteReference"/>
          <w:rFonts w:ascii="Book Antiqua" w:hAnsi="Book Antiqua" w:cs="Arial"/>
          <w:sz w:val="24"/>
          <w:szCs w:val="24"/>
        </w:rPr>
        <w:footnoteReference w:id="5"/>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Kebenaran menjadi suatu hal yang sangat penting dalam ilmu pengetahuan, termasuk ilmu hukum, karena kebenaran dapat menentukan penilaian baik atau buruk terhadap ilmu pengetahuan tersebut.Suatu ilmu pengetahuan akan dinilai baik jika kebenaran yang dihasilkan sesuai dengan kaidah yang benar pula. Oleh karena itu, epistemologi sebagai bagian dari cara yang menjelaskan bagaimana sarana penalaran manusia yang berupa indera, akal dan hati nurani memperoleh pengetahuan yang benar menjadi menjadi kata kunci utama dalam mempelajari ilmu hukum. Epistemologi sebagai cabang dari filsafat yang secara khusus mempelajari tentang bagaimana sarana penalaran manusia mendapat ilmu pengetahuan yang benar menjadi penting untuk memahami ilmu hukum lebih mendalam. Kesalahan dalam memahami epistemologi ilmu hukum dapat mengakibatkan hukum kehilangan nilai kebenarannya, karena jika kita melihat dari perkembangan ilmu hukum yang ada, maka perlu sebuah telaah kajian epistemologi ilmu hukum yang tidak sederhana dan gampang. Hal ini seperti atas penilaian kebenaran terhadap beberapa kasus hukum yang menyangkut permasalahan keadilan dan hak asasimanusia yang masih menyisakan tanda tanya besar.</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Epistemologi sebagai cara manusia dalam menggali dan memperoleh ilmu pengetahuan dengan benar sangat dipengaruhi oleh sarana penalaran yang dimiliki oleh manusia itu sendiri. Manusia sebagai mahluk ciptaan Tuhan telah dibekali indera, akal dan hati sebagai sarana penalaran yang disempurnakan dengan wahyu </w:t>
      </w:r>
      <w:r w:rsidRPr="00D20AF2">
        <w:rPr>
          <w:rFonts w:ascii="Book Antiqua" w:hAnsi="Book Antiqua" w:cs="Arial"/>
          <w:sz w:val="24"/>
          <w:szCs w:val="24"/>
        </w:rPr>
        <w:lastRenderedPageBreak/>
        <w:t>untuk menggali dan memperoleh ilmu pengetahuan dengan baik. Potensi dan anugerah Tuhan tersebut yang sekaligus membedakan manusia dengan mahluk yang lainnya, bahkan manusia menjadi mahluk yang sempurna dan memiliki derajat paling tinggi. Manusia melalui indera, akal dan hati nuranidapat menggali dan memperoleh ilmu pengetahuan secara benar sesuai dengan petunjuk yang diberikan Tuhan. Potensi sumber daya manusia tersebut telah dicipta secara khusus sebagai instrumen manusia dalam melakukan proses kegiatan menggali dan memperoleh ilmu pengetahuan dengan benar danuntuk menyempurnakannya telah ditetapkan wahyu sebagai sumber ilmu pengetahuan yang langsung dari otoritas kekuasaan Tuhan. Oleh karena itu, dengan sarana penalaran indera, akal dan hati nurani yang disempurnakan dengan wahyuuntuk mengembangkan epistemologi, diharapkan manusia mampu menggali dan memperoleh kebenaran yang berupa ilmu pengetahuan dengan baik.</w:t>
      </w:r>
      <w:r w:rsidRPr="00D20AF2">
        <w:rPr>
          <w:rStyle w:val="FootnoteReference"/>
          <w:rFonts w:ascii="Book Antiqua" w:hAnsi="Book Antiqua" w:cs="Arial"/>
          <w:sz w:val="24"/>
          <w:szCs w:val="24"/>
        </w:rPr>
        <w:footnoteReference w:id="6"/>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Manusia oleh Tuhan telah dianugrahi sarana penalaran berupa akal untuk bernalar secara logika rasional, indera untuk bernalar secara empiris, hati nurani untuk bernalar secara intuisi dan disempurnakan dengan wahyu yang berupa kitab suci untuk menggali dan memperoleh kebenaran mutlak dariTuhan, sehingga dengan sarana penalaran untuk mengembangkan epistemologi tersebut manusia seharusnya mampu mendapatkan ilmu pengetahuan yang tidak hanya benar dihadapan manusia yang lain, tetapi juga sesuai dengan petunjuk Tuhan. Oleh karena itu, sarana penalaran tersebut harus digunakan dengan baik dengan menggunakan secara bersama-sama dalam satu kesatuan yang utuh, komprehensif </w:t>
      </w:r>
      <w:r w:rsidRPr="00D20AF2">
        <w:rPr>
          <w:rFonts w:ascii="Book Antiqua" w:hAnsi="Book Antiqua" w:cs="Arial"/>
          <w:sz w:val="24"/>
          <w:szCs w:val="24"/>
        </w:rPr>
        <w:lastRenderedPageBreak/>
        <w:t>dan bijak di bawah bimbingan wahyu Tuhan. Hal ini menunjukkan bahwa telah tepat dalam proses epistemologi, bahwa manusia wajib menggunakan seluruh potensi nalar tersebut secara bersama-sama sesuai dengan penciptaanya manusia sebagai mahluk yang unggul dan terbaik dibandingkan dengan mahluk yang lain atas dasar sarana penalaran untuk mengembangkan epistemologi tersebut. Manusia, dengan upaya memaksimalkan seluruh sarana penalaran untuk mengembangkan epistemologi tersebutakan mendapat kebenaran yang lebih baik, bukan kebenaran bersifat parsial dan terbagi-bagi.</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Dalam epistemologi dapat terjadi masalah ketika manusia tidak mampu menggunakan indera, akal dan hati nuranidalam menggali dan memperoleh ilmupengetahuan dengan benar. Pemahaman manusia yang hanya mendasarkan pada salah satusarana penalaran epistemologi ilmu pengetahuan tertentu saja, maka tidak menutup kemungkinan akan terjadi pola hubungan yang kurang baik, karena masing-masing merasa cukup dengan kebenaran yang dimiliki dan mengklaim kebenaran yang dihasilkan. Permasalahan kebenaran dari hasil epistemologi seperti ini dapat terjadi disegala bidang, termasuk dalam bidang hukum. Hal itu dapat dilihat dari timbul-tenggelamnya teori atau mahzab ilmu hukum, seperti teori hukum alam(yang selanjutnya disebut dengan hukum kodrat) yang juga menggunakan salah satu sarana penalaran utama hati nurani secara intuisi digugat oleh teori positivisme hukum yang menggunakan sarana penalaran utama akal secara rasional, dan positivisme hukum dalam perjalanannya juga digugat oleh mahzab sejarah hukum yang cenderung menggunakan sarana penalaran utama indera secara empiris. Fenomena tersebut pada akhirnya menjadi bukti adanya </w:t>
      </w:r>
      <w:r w:rsidRPr="00D20AF2">
        <w:rPr>
          <w:rFonts w:ascii="Book Antiqua" w:hAnsi="Book Antiqua" w:cs="Arial"/>
          <w:sz w:val="24"/>
          <w:szCs w:val="24"/>
        </w:rPr>
        <w:lastRenderedPageBreak/>
        <w:t>permasalahan dalam epistemologi ilmu hukum akibat dari penalaran manusia yang masih perlu dilakukan perbaikan terhadapnya.</w:t>
      </w:r>
    </w:p>
    <w:p w:rsidR="008F455D" w:rsidRPr="00D20AF2" w:rsidRDefault="008F455D" w:rsidP="008F455D">
      <w:pPr>
        <w:spacing w:after="0" w:line="480" w:lineRule="auto"/>
        <w:ind w:firstLine="720"/>
        <w:jc w:val="both"/>
        <w:rPr>
          <w:rFonts w:ascii="Book Antiqua" w:hAnsi="Book Antiqua" w:cs="Arial"/>
          <w:sz w:val="24"/>
          <w:szCs w:val="24"/>
        </w:rPr>
      </w:pPr>
      <w:r w:rsidRPr="00D20AF2">
        <w:rPr>
          <w:rFonts w:ascii="Book Antiqua" w:hAnsi="Book Antiqua" w:cs="Arial"/>
          <w:sz w:val="24"/>
          <w:szCs w:val="24"/>
        </w:rPr>
        <w:t xml:space="preserve">Dalam praksis ilmu hukum meskipun terdapat beberapa polar metode penalaran dalam menemukan kebenaran, tetapi harus diakui bahwa terdapat kecenderungan lebih diutamakan kepada </w:t>
      </w:r>
      <w:r w:rsidRPr="00D20AF2">
        <w:rPr>
          <w:rFonts w:ascii="Book Antiqua" w:hAnsi="Book Antiqua" w:cs="Arial"/>
          <w:i/>
          <w:sz w:val="24"/>
          <w:szCs w:val="24"/>
        </w:rPr>
        <w:t>main-steram</w:t>
      </w:r>
      <w:r w:rsidRPr="00D20AF2">
        <w:rPr>
          <w:rFonts w:ascii="Book Antiqua" w:hAnsi="Book Antiqua" w:cs="Arial"/>
          <w:sz w:val="24"/>
          <w:szCs w:val="24"/>
        </w:rPr>
        <w:t xml:space="preserve"> ilmu hukum positivisme yang menggunakan sarana penalaran utama akal secara rasional.</w:t>
      </w:r>
      <w:r w:rsidRPr="00D20AF2">
        <w:rPr>
          <w:rStyle w:val="FootnoteReference"/>
          <w:rFonts w:ascii="Book Antiqua" w:hAnsi="Book Antiqua" w:cs="Arial"/>
          <w:sz w:val="24"/>
          <w:szCs w:val="24"/>
        </w:rPr>
        <w:footnoteReference w:id="7"/>
      </w:r>
      <w:r w:rsidRPr="00D20AF2">
        <w:rPr>
          <w:rFonts w:ascii="Book Antiqua" w:hAnsi="Book Antiqua" w:cs="Arial"/>
          <w:sz w:val="24"/>
          <w:szCs w:val="24"/>
        </w:rPr>
        <w:t xml:space="preserve">Hal ini dapat dipengaruhi oleh perkembangan iptek dizaman modern dan globalisasi yang lebih menuntun manusia kearah penalaran mekanistik, serta adanya latarbelakang ilmu hukum yang diajarkan di bangku kuliah selama ini lebih fokus pada </w:t>
      </w:r>
      <w:r w:rsidRPr="00D20AF2">
        <w:rPr>
          <w:rFonts w:ascii="Book Antiqua" w:hAnsi="Book Antiqua" w:cs="Arial"/>
          <w:i/>
          <w:sz w:val="24"/>
          <w:szCs w:val="24"/>
        </w:rPr>
        <w:t xml:space="preserve">output </w:t>
      </w:r>
      <w:r w:rsidRPr="00D20AF2">
        <w:rPr>
          <w:rFonts w:ascii="Book Antiqua" w:hAnsi="Book Antiqua" w:cs="Arial"/>
          <w:sz w:val="24"/>
          <w:szCs w:val="24"/>
        </w:rPr>
        <w:t>untuk menghasilkan pekerja-pekerja hukum yang menuntut pada profesionalitas kerja dengan sistem hukum modern yang mendukungnya.</w:t>
      </w:r>
      <w:r w:rsidRPr="00D20AF2">
        <w:rPr>
          <w:rStyle w:val="FootnoteReference"/>
          <w:rFonts w:ascii="Book Antiqua" w:hAnsi="Book Antiqua" w:cs="Arial"/>
          <w:sz w:val="24"/>
          <w:szCs w:val="24"/>
        </w:rPr>
        <w:footnoteReference w:id="8"/>
      </w:r>
      <w:r w:rsidRPr="00D20AF2">
        <w:rPr>
          <w:rFonts w:ascii="Book Antiqua" w:hAnsi="Book Antiqua" w:cs="Arial"/>
          <w:sz w:val="24"/>
          <w:szCs w:val="24"/>
        </w:rPr>
        <w:t xml:space="preserve"> Pendidikan ilmu hukum dapat dikatakanhanya sekedar menghasilkan pekerja-pekerja teknis, karena mempelajari ilmu hukum yang telah jadi, sebagai akibatnya penalaran ilmiah dibidang hukum masih rendah. Paradigma tersebut akhirnya mempengaruhi penalaran ilmu hukum yang masih didominasi oleh kebenaran profesional yang rasional daripada kebenaran ilmiah.</w:t>
      </w:r>
      <w:r w:rsidRPr="00D20AF2">
        <w:rPr>
          <w:rStyle w:val="FootnoteReference"/>
          <w:rFonts w:ascii="Book Antiqua" w:hAnsi="Book Antiqua" w:cs="Arial"/>
          <w:sz w:val="24"/>
          <w:szCs w:val="24"/>
        </w:rPr>
        <w:footnoteReference w:id="9"/>
      </w: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D20AF2" w:rsidRDefault="00D20AF2" w:rsidP="008258F9">
      <w:pPr>
        <w:spacing w:after="0" w:line="240" w:lineRule="auto"/>
        <w:jc w:val="both"/>
        <w:rPr>
          <w:rFonts w:ascii="Book Antiqua" w:hAnsi="Book Antiqua" w:cs="Times New Roman"/>
        </w:rPr>
      </w:pPr>
    </w:p>
    <w:p w:rsidR="008F455D" w:rsidRDefault="008F455D" w:rsidP="008258F9">
      <w:pPr>
        <w:spacing w:after="0" w:line="240" w:lineRule="auto"/>
        <w:jc w:val="both"/>
        <w:rPr>
          <w:rFonts w:ascii="Book Antiqua" w:hAnsi="Book Antiqua" w:cs="Times New Roman"/>
        </w:rPr>
      </w:pPr>
    </w:p>
    <w:p w:rsidR="00B611A3" w:rsidRPr="008258F9" w:rsidRDefault="00B611A3" w:rsidP="008258F9">
      <w:pPr>
        <w:spacing w:after="0" w:line="240" w:lineRule="auto"/>
        <w:jc w:val="both"/>
        <w:rPr>
          <w:rFonts w:ascii="Book Antiqua" w:hAnsi="Book Antiqua" w:cs="Times New Roman"/>
        </w:rPr>
      </w:pPr>
    </w:p>
    <w:p w:rsidR="008F455D" w:rsidRDefault="008258F9" w:rsidP="00B240CE">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BAB 2 Berpikir Filsafat</w:t>
      </w:r>
    </w:p>
    <w:p w:rsidR="00B240CE" w:rsidRPr="00B240CE" w:rsidRDefault="00B240CE" w:rsidP="00B240CE">
      <w:pPr>
        <w:spacing w:after="0" w:line="240" w:lineRule="auto"/>
        <w:jc w:val="center"/>
        <w:rPr>
          <w:rFonts w:ascii="Book Antiqua" w:hAnsi="Book Antiqua" w:cs="Times New Roman"/>
          <w:b/>
          <w:sz w:val="32"/>
          <w:szCs w:val="32"/>
        </w:rPr>
      </w:pPr>
    </w:p>
    <w:p w:rsidR="008F455D" w:rsidRPr="00B240CE" w:rsidRDefault="008F455D" w:rsidP="008F455D">
      <w:pPr>
        <w:tabs>
          <w:tab w:val="right" w:leader="dot" w:pos="7938"/>
        </w:tabs>
        <w:spacing w:after="0" w:line="480" w:lineRule="auto"/>
        <w:ind w:firstLine="709"/>
        <w:jc w:val="both"/>
        <w:rPr>
          <w:rFonts w:ascii="Book Antiqua" w:eastAsia="Times New Roman" w:hAnsi="Book Antiqua" w:cs="Arial"/>
          <w:sz w:val="24"/>
          <w:szCs w:val="24"/>
        </w:rPr>
      </w:pPr>
      <w:r w:rsidRPr="00B240CE">
        <w:rPr>
          <w:rFonts w:ascii="Book Antiqua" w:eastAsia="Times New Roman" w:hAnsi="Book Antiqua" w:cs="Arial"/>
          <w:sz w:val="24"/>
          <w:szCs w:val="24"/>
        </w:rPr>
        <w:t>Menurut Khudzaifah Dimyati, teori hukum atau teori ilmu hukum sama seperti ilmu pengetahuan yang lainnya, yaitu memiliki tujuan untuk mengurangi kekacauan dan kemajemukan menjadi kesatuan yang tersistematis dalam sebuah bentuk kerangka pemikiran ilmu pengetahuan. Oleh karena itu, tugas dari teori hukum dalam hal ini adalah untuk menjelaskan hubungan antara teori hukum yang bersifat dasar dan pokok dengan semua hukum atau ilmu hukum yang bersifat penjelasan lebih lanjut. Suatu teori hukum juga harus bersifat praktis dan berguna dalam rangka memberikan solusi terhadap pemecahan masalah hukum dalam kehidupan manusia yang terus mengalami perkembangan dan penuh dengan kompleksitas, artinya teori hukum harus dijadikan dasar penggunanya dalam memberikan sebuah preskripsi dan penilaian terhadap apa yang seharusnya menurut ilmu hukum.</w:t>
      </w:r>
      <w:r w:rsidRPr="00B240CE">
        <w:rPr>
          <w:rFonts w:ascii="Book Antiqua" w:eastAsia="Times New Roman" w:hAnsi="Book Antiqua" w:cs="Arial"/>
          <w:sz w:val="24"/>
          <w:szCs w:val="24"/>
          <w:vertAlign w:val="superscript"/>
        </w:rPr>
        <w:footnoteReference w:id="10"/>
      </w:r>
    </w:p>
    <w:p w:rsidR="008F455D" w:rsidRPr="00B240CE" w:rsidRDefault="008F455D" w:rsidP="008F455D">
      <w:pPr>
        <w:tabs>
          <w:tab w:val="right" w:leader="dot" w:pos="7938"/>
        </w:tabs>
        <w:spacing w:after="0" w:line="480" w:lineRule="auto"/>
        <w:ind w:firstLine="709"/>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Teori merupakan serangkaian kegiatan yang dilakukan terkait dengan usaha manusia untuk merumuskan sesuatu yang luas dan tidak jelas menjadi sesuatu yang lebih ringkas dan jelas. Teori digunakan untuk memahami gejala atau fenomena yang terpisah menjadi satu penjelasan umum yang bersifat menyeluruh dan mudah untuk dipahami, bukan malah sebailknya semakin sulit serta membingungkan. Teori pada hakikatnya berisi berbagai hasil pemikiran manusia dalam gerak lintas sejarah peradabannya yang mencoba untuk diungkap secara sederhana dalam rumusan penjabaran yang efektif. Perlu disadari bahwa teori tidak lekang oleh ruang dan waktu. Kebenaran yang diandalkan dalam sebuah teori harus dipahami </w:t>
      </w:r>
      <w:r w:rsidRPr="00B240CE">
        <w:rPr>
          <w:rFonts w:ascii="Book Antiqua" w:eastAsia="Times New Roman" w:hAnsi="Book Antiqua" w:cs="Arial"/>
          <w:sz w:val="24"/>
          <w:szCs w:val="24"/>
        </w:rPr>
        <w:lastRenderedPageBreak/>
        <w:t>bahwa suatu saat akan mengalami pergantian dengan munculnya kebenaran teori yang baru. Hal ini terjadi karena objek kajian yang menjadi awal dari proses terbentuknya teori selalu mengalami perubahan dan perkembangan zaman menuju arah yang lebih kompleks. Dengan demikian, teori dapat dipahami secara berbeda-beda, karena penjelasan teori selalu berbeda antara yang satu dengan yang lainnya. Akan tetapi kesemuanya pada dasarnya jika diruntut terdapat suatu hubungan keterkaitan yang dapat dikatakan mendukung proses pembentukan teori pada masa lampau, sekarang dan yang akan datang. Pandangan tentang teori demikian seperti dikemukakan oleh Fred N. Kelinger, bahwa teori merupakan pemahaman atas seperangkat konsep tertentu, batasan dan proposisi terkait dengan objek yang menyajikan suatu pandangan tertentu secara sistematis tentang fenomena-fenomena yang terjadi dalam kehidupan dengan melakukan analisis lebih rinci terkait adanya hubungan antar variabel yang bertujuan untuk memberikan penjelasan lebih lanjut dan memprediksi fenomena tersebut.</w:t>
      </w:r>
      <w:r w:rsidRPr="00B240CE">
        <w:rPr>
          <w:rFonts w:ascii="Book Antiqua" w:eastAsia="Times New Roman" w:hAnsi="Book Antiqua" w:cs="Arial"/>
          <w:sz w:val="24"/>
          <w:szCs w:val="24"/>
          <w:vertAlign w:val="superscript"/>
        </w:rPr>
        <w:footnoteReference w:id="11"/>
      </w:r>
    </w:p>
    <w:p w:rsidR="008F455D" w:rsidRPr="00B240CE" w:rsidRDefault="008F455D" w:rsidP="008F455D">
      <w:pPr>
        <w:tabs>
          <w:tab w:val="right" w:leader="dot" w:pos="7938"/>
        </w:tabs>
        <w:spacing w:after="0" w:line="480" w:lineRule="auto"/>
        <w:ind w:firstLine="709"/>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Dalam proses perkembangan ilmu pengetahuan, teori dapat digunakan untuk mempertajam objek telaah kajian yang akan diteliti atau diuji kebenarannya, karena teori pada dasarnya merupakan suatu ikhtisar dari objek yang telah diketahui dan diuji kebenarannya. Oleh karena itu, suatu teori dapat digunakan untuk mengembangkan sistem klasifikasi, struktur konsep dan pengertian-pengertian yang dapat menjelaskan objek kajian lebih lanjut. Dengan demikian, teori dapat memberikan informasi, petunjuk dan pengertian yang jelas terkait kelebihan dan kekurangan pengetahuan atas suatu objek tertentu, sehingga teori tidak hanya digunakan untuk memahami sesuatu yang telah dan atau sedang terjadi, tetapi </w:t>
      </w:r>
      <w:r w:rsidRPr="00B240CE">
        <w:rPr>
          <w:rFonts w:ascii="Book Antiqua" w:eastAsia="Times New Roman" w:hAnsi="Book Antiqua" w:cs="Arial"/>
          <w:sz w:val="24"/>
          <w:szCs w:val="24"/>
        </w:rPr>
        <w:lastRenderedPageBreak/>
        <w:t>dapat memberikan kemungkinan pada prediksi di masa yang akan datang dari telah diketahuinya faktor-faktor yang menjadi sebab permasalahan terjadi melalui serangkaian kegiatan pengumpulan, pengolahan, analisis dan kontruksi data-data terkait. Hal ini seperti dikemukakan oleh James A. Black and Dean J. Champion;</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“Research is conducted within the context of a way of thinking about data that places specific demands on the data if they are to have any scientific utility. The way of thinking about data normally encompasses what is loosely referred to as theory. A theory is a set of systematically related propositions specifying casual relationships among variables”</w:t>
      </w:r>
      <w:r w:rsidRPr="00B240CE">
        <w:rPr>
          <w:rFonts w:ascii="Book Antiqua" w:eastAsia="Times New Roman" w:hAnsi="Book Antiqua" w:cs="Arial"/>
          <w:sz w:val="24"/>
          <w:szCs w:val="24"/>
        </w:rPr>
        <w:t>.</w:t>
      </w:r>
      <w:r w:rsidRPr="00B240CE">
        <w:rPr>
          <w:rFonts w:ascii="Book Antiqua" w:eastAsia="Times New Roman" w:hAnsi="Book Antiqua" w:cs="Arial"/>
          <w:sz w:val="24"/>
          <w:szCs w:val="24"/>
          <w:vertAlign w:val="superscript"/>
        </w:rPr>
        <w:footnoteReference w:id="12"/>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2B0EFC" w:rsidRDefault="008F455D" w:rsidP="002B0EFC">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ab/>
        <w:t xml:space="preserve">Teori hukum sebagai hasil pemikiran dan berbagai upaya para ahli hukum untuk menjawab segala permasalahan yang timbul dari proses menuju peradaban hukum yang lebih baik tidak lepas dari apa yang disebut dengan filsafat. Perlu disadari bahwa serangkaian upaya untuk memberikan jawaban atas segala permasalahan hukum yang terjadi merupakan proses filsafat dalam hukum. Dengan demikian, filsafat tidak akan pernah berhenti untuk selalu melakukan suatu telaah kajian terhadap hukum. Oleh karena itulah barangkali yang melatar belakangi Van Apeldoorn untuk mengemukakan pendapat bahwa, </w:t>
      </w:r>
      <w:r w:rsidRPr="00B240CE">
        <w:rPr>
          <w:rFonts w:ascii="Book Antiqua" w:eastAsia="Times New Roman" w:hAnsi="Book Antiqua" w:cs="Arial"/>
          <w:i/>
          <w:sz w:val="24"/>
          <w:szCs w:val="24"/>
        </w:rPr>
        <w:t>“waar de rechtswetenschap eindigt, daar begint de rechctsphilosophie; zij houdt zich bezig met vragen, waarop de wetenschap geen antwoordt heeft”</w:t>
      </w:r>
      <w:r w:rsidRPr="00B240CE">
        <w:rPr>
          <w:rFonts w:ascii="Book Antiqua" w:eastAsia="Times New Roman" w:hAnsi="Book Antiqua" w:cs="Arial"/>
          <w:sz w:val="24"/>
          <w:szCs w:val="24"/>
        </w:rPr>
        <w:t xml:space="preserve">. Dalam pandangan Van Apeldoorn tersebut terdapat hubungan yang sangat erat antara ilmu pengetahuan yang berupa hukum dengan filsafat. Pada saat ilmu hukum tidak mampu lagi atau berakhir dalam upayanya untuk menjelaskan berbagai fenomena permasalahan yang terjadi, maka disitulah filsafat (hukum) memulai tugasnya. Filsafat hukum sebagai bagian dari ilmu hukum yang memiliki strata cara kerja lebih tinggi dan sekaligus juga bersifat fundamental dalam </w:t>
      </w:r>
      <w:r w:rsidRPr="00B240CE">
        <w:rPr>
          <w:rFonts w:ascii="Book Antiqua" w:eastAsia="Times New Roman" w:hAnsi="Book Antiqua" w:cs="Arial"/>
          <w:sz w:val="24"/>
          <w:szCs w:val="24"/>
        </w:rPr>
        <w:lastRenderedPageBreak/>
        <w:t>mengkaji pertanyaan-pertanyaan yang tidak dapat dijawab oleh ilmu hukum.</w:t>
      </w:r>
      <w:r w:rsidRPr="00B240CE">
        <w:rPr>
          <w:rFonts w:ascii="Book Antiqua" w:eastAsia="Times New Roman" w:hAnsi="Book Antiqua" w:cs="Arial"/>
          <w:sz w:val="24"/>
          <w:szCs w:val="24"/>
          <w:vertAlign w:val="superscript"/>
        </w:rPr>
        <w:footnoteReference w:id="13"/>
      </w:r>
      <w:r w:rsidRPr="00B240CE">
        <w:rPr>
          <w:rFonts w:ascii="Book Antiqua" w:eastAsia="Times New Roman" w:hAnsi="Book Antiqua" w:cs="Arial"/>
          <w:sz w:val="24"/>
          <w:szCs w:val="24"/>
        </w:rPr>
        <w:t xml:space="preserve"> Filsafat hukum lazimnya seperti filsafat ilmu pengetahuan yang lain tidak dapat dikualifikasi sebagai ilmu semata, melainkan juga sebagai suatu meta-disiplinyang mana sebagian hasil penalarannya tidak dapat diuji seluruhnya secara empiris dan rasional.Teori hukum disinihadir untuk mengurangi ketegangan antara filsafat hukum dengan realita hukum. Teori hukum bertugas untuk melakukan ferifikasi dan falsifikasiterhadap ilmu hukum sehingga dapat membebaskan ilmu hukum agar tidak jatuh dan membeku pada salah satu kutub, baik secara empiris, normatif maupun intuitif.</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Epistemologi sebagai bagian dari cabang filsafat yang membahas tentang bagaimana cara sarana penalaran manusia mendapatkan ilmu pengetahuan dengan benar sangat terkait dengan ontologi yang membahas tentang apa yang dikaji dari ilmu pengetahuan dan aksiologi yang membahas tentang untuk apa kegunaan ilmu pengetahuan tersebut. Oleh karena itu, jikaingin membahas tentang epistemologi ilmu hukum, maka harus dikaitkan pula dengan ontologi dan aksiologi ilmu hukum. Apabila dikaji berdasarkan sarana penalaran utama manusia, maka terdapat tiga varian pokok. </w:t>
      </w:r>
      <w:r w:rsidRPr="00B240CE">
        <w:rPr>
          <w:rFonts w:ascii="Book Antiqua" w:hAnsi="Book Antiqua" w:cs="Arial"/>
          <w:i/>
          <w:sz w:val="24"/>
          <w:szCs w:val="24"/>
        </w:rPr>
        <w:t>Pertama</w:t>
      </w:r>
      <w:r w:rsidRPr="00B240CE">
        <w:rPr>
          <w:rFonts w:ascii="Book Antiqua" w:hAnsi="Book Antiqua" w:cs="Arial"/>
          <w:sz w:val="24"/>
          <w:szCs w:val="24"/>
        </w:rPr>
        <w:t xml:space="preserve">, indera sebagai sarana penalaran utama untuk mengembangkan epistemologi ilmu hukum yang memiliki objek kajian seperti dalam mahzab sejarah hukum, yaitu tradisi kebiasaan yang tumbuh dan berkembang dalam kehidupan sosial masyarakat dan untuk memperoleh kebenaran ilmu hukum ini dengan menggunakan metode penalaran induktif. Paham dalam ilmu hukum ini memiliki nilai kemanfaatan untuk memandang hukum dari adat </w:t>
      </w:r>
      <w:r w:rsidRPr="00B240CE">
        <w:rPr>
          <w:rFonts w:ascii="Book Antiqua" w:hAnsi="Book Antiqua" w:cs="Arial"/>
          <w:sz w:val="24"/>
          <w:szCs w:val="24"/>
        </w:rPr>
        <w:lastRenderedPageBreak/>
        <w:t>istiadat dan budayayang ada di dalam masyarakat, sehingga tujuan hukum untuk mewujudkan tatanan yang sesuai dengan kebiasaan yang telah ada dalam kehidupan sosial masyarakat.</w:t>
      </w:r>
      <w:r w:rsidRPr="00B240CE">
        <w:rPr>
          <w:rFonts w:ascii="Book Antiqua" w:hAnsi="Book Antiqua" w:cs="Arial"/>
          <w:i/>
          <w:sz w:val="24"/>
          <w:szCs w:val="24"/>
        </w:rPr>
        <w:t>Kedua</w:t>
      </w:r>
      <w:r w:rsidRPr="00B240CE">
        <w:rPr>
          <w:rFonts w:ascii="Book Antiqua" w:hAnsi="Book Antiqua" w:cs="Arial"/>
          <w:sz w:val="24"/>
          <w:szCs w:val="24"/>
        </w:rPr>
        <w:t xml:space="preserve">, akal sebagai sarana penalaran utama untuk mengembangkan epistemologi ilmu hukum yang memiliki objek kajian seperti dalam positivisme hukum, yaitu sistem norma hukum positif dalam peraturan perundang-undangan dan untuk memperoleh kebenaran ilmu hukum ini dengan menggunakan metode penalaran deduktif. Paham dalam ilmu hukum ini memiliki nilai kegunaan untuk mencapai kepastian hukum sesuai dengan ketentuan peraturan perundang-undangan. </w:t>
      </w:r>
      <w:r w:rsidRPr="00B240CE">
        <w:rPr>
          <w:rFonts w:ascii="Book Antiqua" w:hAnsi="Book Antiqua" w:cs="Arial"/>
          <w:i/>
          <w:sz w:val="24"/>
          <w:szCs w:val="24"/>
        </w:rPr>
        <w:t>Ketiga</w:t>
      </w:r>
      <w:r w:rsidRPr="00B240CE">
        <w:rPr>
          <w:rFonts w:ascii="Book Antiqua" w:hAnsi="Book Antiqua" w:cs="Arial"/>
          <w:sz w:val="24"/>
          <w:szCs w:val="24"/>
        </w:rPr>
        <w:t>, hati nurani sebagai sarana penalaran utama untuk mengembangkan epistemologi ilmu hukum yang memiliki objek kajian seperti dalam hukumkodrat, yaitu segala permasalahan hukum yang dapat menyentuh perasaanhati nurani manusiadan untuk memperoleh kebenaran ilmu hukum inidengan menggunakan metode penalaran intuitif. Paham dalam ilmu hukum ini memiliki nilai kegunaan untuk memahami dan merasakan kebenaran hukumyang tersembunyi dalam benak batin pribadi manusia.</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Permasalahan dalam epistemologi ilmu hukum dapat terjadi, ketika cara pandang yang menggunakan indera dalam memperoleh kebenaran ilmu hukum hanya akan mengakui kebenaran ilmu hukum yang nyata dan bersifat empiris sesuai dengan fakta dan realitas perilaku yang ada di masyarakat, sehingga kebenaran yang dihasilkan akan memiliki kecenderungan untuk tidak sesuai dengan kebenaran ilmu hukum yang dikembangkan dengan sarana penalaran akal dan hati nurani. Pemahaman yang menggunakan akal dalam memperoleh kebenaran ilmu hukum hanya akan mengakui kebenaran yang bersifat logis </w:t>
      </w:r>
      <w:r w:rsidRPr="00B240CE">
        <w:rPr>
          <w:rFonts w:ascii="Book Antiqua" w:hAnsi="Book Antiqua" w:cs="Arial"/>
          <w:sz w:val="24"/>
          <w:szCs w:val="24"/>
        </w:rPr>
        <w:lastRenderedPageBreak/>
        <w:t>rasional, sehingga kebenaran yang dihasilkan akan memiliki kecenderungan untuk tidak sesuai dengan kebenaran ilmu hukum yang dikembangkan dengan sarana penalaranindera dan hati nurani. Pemahaman yang menggunakan hati nurani dalam memperoleh kebenaran ilmu hukum hanya akan mengakui kebenaran intuitif yang menyentuh perasaan batin dalam benak pribadi manusia, sehingga kebenaran yang dihasilkan akan memiliki kecenderungan untuk tidak sesuai dengan kebenaran ilmu hukum yang dikembangkan dengan sarana penalaran indera dan akal.</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Masing-masing ilmu hukum dengan aspek ontologi, epistemologi dan aksiologi memiliki kelebihan dan kekurangan dalam memberikan tawaran solusi atas segala permasalahan hukum yang terjadi dalam kehidupan manusia. Dalam kondisi dan situasi seperti ini tidak jarang diantara masing-masing ilmu hukum tidak terjalin suatu pola hubungan yang baik, seperti adanya faktor determinan yang berupa konflik epistemologi ilmu hukum yang saling mengklaim kebenaran yang dimiliki. Kebenaran yang merupakan pencapaian yang bernilai khusus dalam pluraritas keanekaragaman ilmu hukum tersebut menjadi bervariasi dan kompleks sesuai dengan pengaruh perkembangan jaman yang diiringi oleh kemajuan dibidang ilmu pengetahuan dan teknologi. Epistemologi ilmu hukum dalam situasi dan kondisi seperti ini dapat menimbulkan konflik yang bersubtansi pada nilai kebenaran yang diakuinya, sehingga hal ini yang menjadi permasalahan dalam perkembangan ilmu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Ilmu hukum dengan aspek ontologi, epistemologi dan aksiologi tersebut tidak sepenuhnya dapat dipersalahkan dan sulit atau bahkan tidak dapat diubah </w:t>
      </w:r>
      <w:r w:rsidRPr="00B240CE">
        <w:rPr>
          <w:rFonts w:ascii="Book Antiqua" w:hAnsi="Book Antiqua" w:cs="Arial"/>
          <w:sz w:val="24"/>
          <w:szCs w:val="24"/>
        </w:rPr>
        <w:lastRenderedPageBreak/>
        <w:t>dengan konsep ilmu hukum baru yang mengenyampingkan hukum yang telah ada sebagaimana keinginan kaum idealis, karena ilmu hukum tersebut telah masuk menjadi bagian dari proses sejarah perkembangan hukum dan ilmu hukum. Akan tetapi jika tidak disadari, maka perkembangan ilmu hukum tersebut dapat berpotensi menimbulkan permasalahan serius, karena jika kita melihat kemungkinan pola hubungan hukum seperti tersebut diatas yang hanya memahami salah satu ilmu hukum pada satu sisi saja secara parsial dan terpisah. Dalam keadaan seperti ini maka ilmu hukum sering diuji dan diperdebatkan, sehingga rentan untuk dipermainkan kebenarannya. Ilmu hukum dapat ditafsirkan dan didistorsikan kebenarannya sesuai dengan kepentingan tertentu,</w:t>
      </w:r>
      <w:r w:rsidRPr="00B240CE">
        <w:rPr>
          <w:rStyle w:val="FootnoteReference"/>
          <w:rFonts w:ascii="Book Antiqua" w:hAnsi="Book Antiqua" w:cs="Arial"/>
          <w:sz w:val="24"/>
          <w:szCs w:val="24"/>
        </w:rPr>
        <w:footnoteReference w:id="14"/>
      </w:r>
      <w:r w:rsidRPr="00B240CE">
        <w:rPr>
          <w:rFonts w:ascii="Book Antiqua" w:hAnsi="Book Antiqua" w:cs="Arial"/>
          <w:sz w:val="24"/>
          <w:szCs w:val="24"/>
        </w:rPr>
        <w:t xml:space="preserve"> meskipun dalam keadaan tertentu memang bertentangan dan sulit diterima nalar pemikiran manusia.</w:t>
      </w:r>
      <w:r w:rsidRPr="00B240CE">
        <w:rPr>
          <w:rStyle w:val="FootnoteReference"/>
          <w:rFonts w:ascii="Book Antiqua" w:hAnsi="Book Antiqua" w:cs="Arial"/>
          <w:sz w:val="24"/>
          <w:szCs w:val="24"/>
        </w:rPr>
        <w:footnoteReference w:id="15"/>
      </w:r>
      <w:r w:rsidRPr="00B240CE">
        <w:rPr>
          <w:rFonts w:ascii="Book Antiqua" w:hAnsi="Book Antiqua" w:cs="Arial"/>
          <w:sz w:val="24"/>
          <w:szCs w:val="24"/>
        </w:rPr>
        <w:t xml:space="preserve"> Ilmu hukum yang merupakan cermin dari praktek hukum pada akhirnya dapat dinilai tidak menunjukkan rasa keadilan, kemanfaatan dan kepatutan.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Ilmu hukum dengan cara pemahaman tersebut, maka kebenaran yang dihasilkan terbagi menjadi beberapa kaveling sesuai dengan sarana penalaran yang digunakan, akibatnya terjadi ketidaksesuaian antara masing-masing dalam ilmu hukum yang tidak pernah selesai hingga sekarang, karena masing-masing epistemologi ilmu hukum mengklaim atas kebenaran yang dihasilkan.Cara pandang yang berlainan disatu sisi dapat memberikan pemahaman yang lebih luas, tetapi disisi lain dapat </w:t>
      </w:r>
      <w:r w:rsidRPr="00B240CE">
        <w:rPr>
          <w:rFonts w:ascii="Book Antiqua" w:eastAsia="Times New Roman" w:hAnsi="Book Antiqua" w:cs="Arial"/>
          <w:sz w:val="24"/>
          <w:szCs w:val="24"/>
        </w:rPr>
        <w:t>menimbulkan permasalahan dalam ilmu hukum.</w:t>
      </w:r>
      <w:r w:rsidRPr="00B240CE">
        <w:rPr>
          <w:rStyle w:val="FootnoteReference"/>
          <w:rFonts w:ascii="Book Antiqua" w:eastAsia="Times New Roman" w:hAnsi="Book Antiqua" w:cs="Arial"/>
          <w:sz w:val="24"/>
          <w:szCs w:val="24"/>
        </w:rPr>
        <w:footnoteReference w:id="16"/>
      </w:r>
      <w:r w:rsidRPr="00B240CE">
        <w:rPr>
          <w:rFonts w:ascii="Book Antiqua" w:hAnsi="Book Antiqua" w:cs="Arial"/>
          <w:sz w:val="24"/>
          <w:szCs w:val="24"/>
        </w:rPr>
        <w:t xml:space="preserve">Dampak paling ringan seperti terlihat dalam pola hubungan yang independen, sedangkan dampak </w:t>
      </w:r>
      <w:r w:rsidRPr="00B240CE">
        <w:rPr>
          <w:rFonts w:ascii="Book Antiqua" w:hAnsi="Book Antiqua" w:cs="Arial"/>
          <w:sz w:val="24"/>
          <w:szCs w:val="24"/>
        </w:rPr>
        <w:lastRenderedPageBreak/>
        <w:t>yang paling berat dan menjadi faktor determinan yang menyebabkan permasalahan dalam epistemologi ilmu hukum jika terjadi konflik yang dapat menimbulkan distorsi kepentingan.</w:t>
      </w:r>
      <w:r w:rsidRPr="00B240CE">
        <w:rPr>
          <w:rStyle w:val="FootnoteReference"/>
          <w:rFonts w:ascii="Book Antiqua" w:hAnsi="Book Antiqua" w:cs="Arial"/>
          <w:sz w:val="24"/>
          <w:szCs w:val="24"/>
        </w:rPr>
        <w:footnoteReference w:id="17"/>
      </w:r>
      <w:r w:rsidRPr="00B240CE">
        <w:rPr>
          <w:rFonts w:ascii="Book Antiqua" w:hAnsi="Book Antiqua" w:cs="Arial"/>
          <w:sz w:val="24"/>
          <w:szCs w:val="24"/>
        </w:rPr>
        <w:t xml:space="preserve"> Dalam hal ini, artinya bukan lagi kebenaran yang menjadi tujuan utama, tetapi kepentingan yang menguntungkan dianggap sebagai sebuah kebenaran. Berdasarkan atas dasar tuntutan kerja,maka kebenaran yang dihasilkan akan merujuk pada mekanisme profesionalitas yang hanya terukur dengan nilai-nilai kepastian rasional belaka,sehingga kebenaran ilmu hukum yang dihasilkan sering menimbulkan permasalahan.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Epistemologi ilmu hukum sebagai cara mendapat pengetahuan ilmu hukum yang benar melalui sarana penalarannya menjadi urgen dan sangat menentukan kedudukan ilmu hukum dalam suatu kajian ilmiah, karena hal tersebut berperan vital dalam pembentukan dan pengembangan ilmu hukum dan hukum kedepan. Ilmu hukum dengan epistemologi dapat digali dan diperoleh nilai kebenarannya, karena ilmu hukum yang baik berasal dari epistemologi ilmu hukum yang utuh, komprehensif dan bijak. Artinya epistemologi ilmu hukum tidak hanya berdasar kepada akal rasional, tetapi juga digali dan diperoleh berdasarkan pada hasil penyatuan dari hasil observasi indera secara empirisdan intuisi hati nurani yang dilaksanakan di bawah petunjuk dari wahyu Tuhan. Ilmu hukum seperti dalam ilmu pengetahuan yang lain juga memiliki pandangan yang sama, bahwa epistemologi ilmu hukum tidak cukup hanya menggunakan salah satu atau beberapa sarana penalaran tertentu saja, karena jika demikian maka kebenaran yang dihasilkan dapat menimbulkan konflik kebenaran.</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lastRenderedPageBreak/>
        <w:t xml:space="preserve">Keanekaragaman corak epistemologi ilmu hukumdengan sarana penalarannya memiliki keterkaitan erat dengan aspek ontologi dan aksiologi ilmu hukum tersebut dapat menghegemoni terbentuknya polar-polar kekuatan ilmu hukum yang memiliki cirikhas dan karakter dalam menentukan kebenarannya. Keadaan ilmu hukum ini </w:t>
      </w:r>
      <w:r w:rsidRPr="00B240CE">
        <w:rPr>
          <w:rFonts w:ascii="Book Antiqua" w:eastAsia="Times New Roman" w:hAnsi="Book Antiqua" w:cs="Arial"/>
          <w:sz w:val="24"/>
          <w:szCs w:val="24"/>
        </w:rPr>
        <w:t xml:space="preserve">sangat menarik untuk dikaji dalam sebuah studi ilmu hukum dengan menggunakan kerangka dasar filsafat ilmu pengetahuan yang lebih menitik beratkan pada aspek sarana penalaran manusia dalam menggali dan memperoleh kebenaran ilmu hukum. </w:t>
      </w:r>
      <w:r w:rsidRPr="00B240CE">
        <w:rPr>
          <w:rFonts w:ascii="Book Antiqua" w:hAnsi="Book Antiqua" w:cs="Arial"/>
          <w:sz w:val="24"/>
          <w:szCs w:val="24"/>
        </w:rPr>
        <w:t>Berdasarkan pandangan tersebut, maka diperlukan konsepepistemologi ilmu hukum yang dapat memberi tawaran solusi alternatif atas permasalahan tersebut. Konvergensi epistemologi berkeadabandalam ilmu hukum merupakan tawaran konsep dalam menggali dan memperoleh kebenaran ilmu hukum dari titik temu indera, akal dan hati nuranisebagai sarana penalaran utama manusia dalam mengembangkan epistemologi ilmu hukum yang dijalankan berdasarkan petunjuk wahyu Tuhan. Oleh karena itu, konsepkonvergensi epistemologi berkeadaban dalam ilmu hukum menjadi bahan kajian yang cukup urgen dan menarik untuk ditelaah lebih lanjut, serta memiliki relevansi dengan keadaan hukumsaat ini.Konvergensi epistemologi berkeadaban dalam ilmu hukum dapat menjadi sebuah tawaran konsepdengan corak karakter pemahaman yang tidak hanya utuh dan komprehensif, tetapi juga mengandung nilai yang bijak dalam upaya melakukan proses pembaruan epistemologi ilmu hukum.</w:t>
      </w: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Default="002B0EFC" w:rsidP="008258F9">
      <w:pPr>
        <w:spacing w:after="0" w:line="240" w:lineRule="auto"/>
        <w:jc w:val="both"/>
        <w:rPr>
          <w:rFonts w:ascii="Book Antiqua" w:hAnsi="Book Antiqua" w:cs="Times New Roman"/>
        </w:rPr>
      </w:pPr>
    </w:p>
    <w:p w:rsidR="002B0EFC" w:rsidRPr="008258F9" w:rsidRDefault="002B0EFC"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 xml:space="preserve">BAB 3 </w:t>
      </w:r>
      <w:r>
        <w:rPr>
          <w:rFonts w:ascii="Book Antiqua" w:hAnsi="Book Antiqua" w:cs="Times New Roman"/>
          <w:b/>
          <w:sz w:val="32"/>
          <w:szCs w:val="32"/>
        </w:rPr>
        <w:t xml:space="preserve">Sejarah </w:t>
      </w:r>
      <w:r w:rsidRPr="0030390C">
        <w:rPr>
          <w:rFonts w:ascii="Book Antiqua" w:hAnsi="Book Antiqua" w:cs="Times New Roman"/>
          <w:b/>
          <w:sz w:val="32"/>
          <w:szCs w:val="32"/>
        </w:rPr>
        <w:t>Pemikiran Hukum</w:t>
      </w:r>
    </w:p>
    <w:p w:rsidR="00B240CE" w:rsidRPr="0030390C" w:rsidRDefault="00B240CE" w:rsidP="008258F9">
      <w:pPr>
        <w:spacing w:after="0" w:line="240" w:lineRule="auto"/>
        <w:jc w:val="center"/>
        <w:rPr>
          <w:rFonts w:ascii="Book Antiqua" w:hAnsi="Book Antiqua" w:cs="Times New Roman"/>
          <w:b/>
          <w:sz w:val="32"/>
          <w:szCs w:val="32"/>
        </w:rPr>
      </w:pP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Manusia pada zaman dulu lebih cenderung mengikuti aturan-aturan atau hukum yang bersifat internal dari dalam diri sendiri, khususnya yang berasal dari dalam hati nurani. Hal tersebut dapat dilihat dari perkembangan pengetahuan manusia pada waktu itu yang belum maju dan masih mengandalkan kemampuan yang sifatnya irasional. Mahzab hukum kodrat merupakan salah satu contoh ilmu pengetahuan yang menggunakan hati nurani sebagai salah satu sarana penalarannya, meskipun hukum kodrat juga bersumber dari nilai-nilai kealaman, hukum Tuhan, moral dan akal secara rasional. Hati nurani sebagai sarana penalaran hukum kodrat menjadi catatan yang penting dan menjadi bukti, bahwa hati nurani menjadi sarana penalaran yang melekat kuat dan identik dengan hukum kodrat yang bersifat irasional. Hukum sebagai bagian dari bentuk perkembangan ilmu pengetahuan manusia pada awalnya merupakan cermin dari perasaan yang bersumber dari hati nurani. Hal ini sesuai dengan proses sejarah lahirnya hukum kodrat sebagai teori hukum yang paling tua, karena sebelum ilmu pengetahuan modern yang berbasis ketat pada rasional akal berkembang, pada tahap awal manusia meyakini perasaan yang selalu membisikkan suara dari dalam hati nuraninya untuk berbuat atau tidak berbuat sesuatu yang diyakini baik. Hati nurani merupakan bagian dari sarana penalaran epistemologi teori hukum kodrat yang cukup penting peranannya dalam memberikan corak yang khas dalam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Dalam diri manusia terdapat perasaan yang berhubungan dengan benar dan salah, menurut Richard G. Singer dan John Q. La Fond dikualifikasikan ke dalam </w:t>
      </w:r>
      <w:r w:rsidRPr="00B240CE">
        <w:rPr>
          <w:rFonts w:ascii="Book Antiqua" w:hAnsi="Book Antiqua" w:cs="Arial"/>
          <w:sz w:val="24"/>
          <w:szCs w:val="24"/>
        </w:rPr>
        <w:lastRenderedPageBreak/>
        <w:t>bentuk hati nurani.</w:t>
      </w:r>
      <w:r w:rsidRPr="00B240CE">
        <w:rPr>
          <w:rFonts w:ascii="Book Antiqua" w:hAnsi="Book Antiqua" w:cs="Arial"/>
          <w:sz w:val="24"/>
          <w:szCs w:val="24"/>
          <w:vertAlign w:val="superscript"/>
        </w:rPr>
        <w:footnoteReference w:id="18"/>
      </w:r>
      <w:r w:rsidRPr="00B240CE">
        <w:rPr>
          <w:rFonts w:ascii="Book Antiqua" w:hAnsi="Book Antiqua" w:cs="Arial"/>
          <w:sz w:val="24"/>
          <w:szCs w:val="24"/>
        </w:rPr>
        <w:t xml:space="preserve"> Pemahaman demikian terhadap hati nurani memang bukan tanpa alasan, karena hati nurani pada dasarnya sering digunakan sebagai tolok ukur pertama seseorang yang teridentifikasi melalui respon perasaan. Menurut J.W Harris pada jaman kuno manusia menggunakan penalaran hati nurani (</w:t>
      </w:r>
      <w:r w:rsidRPr="00B240CE">
        <w:rPr>
          <w:rFonts w:ascii="Book Antiqua" w:hAnsi="Book Antiqua" w:cs="Arial"/>
          <w:i/>
          <w:sz w:val="24"/>
          <w:szCs w:val="24"/>
        </w:rPr>
        <w:t>ancient conception of judgeship</w:t>
      </w:r>
      <w:r w:rsidRPr="00B240CE">
        <w:rPr>
          <w:rFonts w:ascii="Book Antiqua" w:hAnsi="Book Antiqua" w:cs="Arial"/>
          <w:sz w:val="24"/>
          <w:szCs w:val="24"/>
        </w:rPr>
        <w:t>), bukan penalaran akal rasional. Penalaran intuisi dalam teori hukum kodrat sesuai dengan sifat hukumnya yang mengandung asas-asas kebenaran yang bersifat universal. Kewajiban pertama dalam hal ini menurut William David Rose harus selalu dianggap sebagai kewajiban pertama (</w:t>
      </w:r>
      <w:r w:rsidRPr="00B240CE">
        <w:rPr>
          <w:rFonts w:ascii="Book Antiqua" w:hAnsi="Book Antiqua" w:cs="Arial"/>
          <w:i/>
          <w:sz w:val="24"/>
          <w:szCs w:val="24"/>
        </w:rPr>
        <w:t>prima facie</w:t>
      </w:r>
      <w:r w:rsidRPr="00B240CE">
        <w:rPr>
          <w:rFonts w:ascii="Book Antiqua" w:hAnsi="Book Antiqua" w:cs="Arial"/>
          <w:sz w:val="24"/>
          <w:szCs w:val="24"/>
        </w:rPr>
        <w:t xml:space="preserve">), yaitu kewajiban yang pada tahap awal harus berlaku sebelum muncul kewajiban lain. Dalam diri manusia selalu terdapat </w:t>
      </w:r>
      <w:r w:rsidRPr="00B240CE">
        <w:rPr>
          <w:rFonts w:ascii="Book Antiqua" w:hAnsi="Book Antiqua" w:cs="Arial"/>
          <w:i/>
          <w:sz w:val="24"/>
          <w:szCs w:val="24"/>
        </w:rPr>
        <w:t>prima facie</w:t>
      </w:r>
      <w:r w:rsidRPr="00B240CE">
        <w:rPr>
          <w:rFonts w:ascii="Book Antiqua" w:hAnsi="Book Antiqua" w:cs="Arial"/>
          <w:sz w:val="24"/>
          <w:szCs w:val="24"/>
        </w:rPr>
        <w:t xml:space="preserve"> yang lahir dari intuisi hati nurani.</w:t>
      </w:r>
      <w:r w:rsidRPr="00B240CE">
        <w:rPr>
          <w:rFonts w:ascii="Book Antiqua" w:hAnsi="Book Antiqua" w:cs="Arial"/>
          <w:sz w:val="24"/>
          <w:szCs w:val="24"/>
          <w:vertAlign w:val="superscript"/>
        </w:rPr>
        <w:footnoteReference w:id="19"/>
      </w:r>
      <w:r w:rsidRPr="00B240CE">
        <w:rPr>
          <w:rFonts w:ascii="Book Antiqua" w:hAnsi="Book Antiqua" w:cs="Arial"/>
          <w:sz w:val="24"/>
          <w:szCs w:val="24"/>
        </w:rPr>
        <w:t xml:space="preserve"> Hati nurani dalam diri manusia secara umum dapat dipahami dan dirasakan dari sebagian besar manusia yang mengharapkan orang lain untuk melakukan sesuatu yang baik, termasuk memenuhi tugas manusia yang berhubungan erat dengan kewajiban-kewajibanyang harus memiliki nilai kesesuaian dengan perasaan dasar manusia yang terkait mengenai benar dan salah (</w:t>
      </w:r>
      <w:r w:rsidRPr="00B240CE">
        <w:rPr>
          <w:rFonts w:ascii="Book Antiqua" w:hAnsi="Book Antiqua" w:cs="Arial"/>
          <w:i/>
          <w:sz w:val="24"/>
          <w:szCs w:val="24"/>
        </w:rPr>
        <w:t>sense of right and wrong</w:t>
      </w:r>
      <w:r w:rsidRPr="00B240CE">
        <w:rPr>
          <w:rFonts w:ascii="Book Antiqua" w:hAnsi="Book Antiqua" w:cs="Arial"/>
          <w:sz w:val="24"/>
          <w:szCs w:val="24"/>
        </w:rPr>
        <w:t>) di mana seseorang harus mengikutinya.</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Hati nurani sebagai sarana penalaran epistemologi ilmu hukum kodrat seiring dengan kemajuan ilmu pengetahuan manusia mendapat penolakan. Hati nurani dinilai tidak mampu lagi memberi pengetahuan yang pasti, karena hanya mengandalkan perasaan pribadi dan tidak menggunakan dasar ilmu pengetahuan yang logis rasional dapat diterima secara ilmiah. Teori positivisme hukum hadir sebagai gelombang besar yang menolak keras penggunaan sarana penelaran hati </w:t>
      </w:r>
      <w:r w:rsidRPr="00B240CE">
        <w:rPr>
          <w:rFonts w:ascii="Book Antiqua" w:hAnsi="Book Antiqua" w:cs="Arial"/>
          <w:sz w:val="24"/>
          <w:szCs w:val="24"/>
        </w:rPr>
        <w:lastRenderedPageBreak/>
        <w:t>nurani dalam ilmu hukum. Teori positivisme hukum hadir dengan mengusung pemahaman hukum pada hal-hal yang tidak hanya bersifat konkrit, tetapi juga menurut hasil analisis secara ilmiah yang dapat dipertanggungjawabkan konsistensinya. Dalam pemahaman positivisme hukum, kelemahan hukum kodrat yang mengakibatkanya tidak eksis pada zaman modern karena kegagalannya mengembangkan metode penalaran yang sulit untuk dipertanggungjawabkan secara ilmiah. Sifat irasional hukum kodrat, menurut positivisme hukum mengakibatkan hukum tidak memiliki nilai ukur secara jelas dan pasti. Setiap filsuf dalam hukum kodrat memiliki keyakinan sendiri-sendiri tentang hukum yang terkait dengan kealaman, Tuhan, hati nurani, moral dan akal. Oleh karena itu, menurut positivisme hukum, hukum kodrat bersifat ambigu dan tidak berhasil memberikan kepastian hukum. Positivisme hukum berkembang pesat dengan menggeser terus-menerus hukum kodrat yang didukung oleh pola pemikiran ilmiah yang bersifat sainstis senantiasa berusaha untuk meneguhkan cara kerja yang lebih akurat dan terukur akal secara rasional.</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Teori positivisme hukum pada tahap yang lebih maju memahami hukum sebagai peraturan yang sedang berlaku dan dibentuk oleh lembaga otoritas negara. Positivisme hukum yang menggunakan sarana penalaran utama akal secara rasional dalam mengembangkan epistemologi juga menekankan pemisahan hukum dari segala sesuatu yang tidak terjangkau akal, termasuk hati nurani dan cenderung mengidentifikasikan keadilan pada sifat legalitas ketaatan terhadap peraturan yang dibentuk oleh hukum formal negara. Hukum dalam positivisme hukum dipahami sebagai suatu gejala tersendiri yang harus dikaji secara ilmiah dalam bentuk sistem </w:t>
      </w:r>
      <w:r w:rsidRPr="00B240CE">
        <w:rPr>
          <w:rFonts w:ascii="Book Antiqua" w:hAnsi="Book Antiqua" w:cs="Arial"/>
          <w:sz w:val="24"/>
          <w:szCs w:val="24"/>
        </w:rPr>
        <w:lastRenderedPageBreak/>
        <w:t xml:space="preserve">struktur rasional, sehingga pemahaman ini melahirkan suatu pemikiran bahwa pembentukan hukum bersifat professional sebagai hasil karya para ahli hukum, bukan hasil olah batin manusia. Terdapat beberapa prinsip utama positivisme hukum yang menguatkan peran akal secara rasional dan melemahkan hati nurani. </w:t>
      </w:r>
      <w:r w:rsidRPr="00B240CE">
        <w:rPr>
          <w:rFonts w:ascii="Book Antiqua" w:hAnsi="Book Antiqua" w:cs="Arial"/>
          <w:i/>
          <w:sz w:val="24"/>
          <w:szCs w:val="24"/>
        </w:rPr>
        <w:t>Pertama</w:t>
      </w:r>
      <w:r w:rsidRPr="00B240CE">
        <w:rPr>
          <w:rFonts w:ascii="Book Antiqua" w:hAnsi="Book Antiqua" w:cs="Arial"/>
          <w:sz w:val="24"/>
          <w:szCs w:val="24"/>
        </w:rPr>
        <w:t xml:space="preserve">, bahwa hukum merupakan peraturan perundang-undangan yang berlaku sebagai produk politik elit negara yang bekerja secara rasional terkait dengan pengaturan negara. </w:t>
      </w:r>
      <w:r w:rsidRPr="00B240CE">
        <w:rPr>
          <w:rFonts w:ascii="Book Antiqua" w:hAnsi="Book Antiqua" w:cs="Arial"/>
          <w:i/>
          <w:sz w:val="24"/>
          <w:szCs w:val="24"/>
        </w:rPr>
        <w:t>Kedua</w:t>
      </w:r>
      <w:r w:rsidRPr="00B240CE">
        <w:rPr>
          <w:rFonts w:ascii="Book Antiqua" w:hAnsi="Book Antiqua" w:cs="Arial"/>
          <w:sz w:val="24"/>
          <w:szCs w:val="24"/>
        </w:rPr>
        <w:t xml:space="preserve">, hukum merupakan hasil berpikir logis para profesional di bidang hukum, maka tidak ada hubungan antara hukum dengan segala sesuatu di luar hukum, termasuk hati nurani. </w:t>
      </w:r>
      <w:r w:rsidRPr="00B240CE">
        <w:rPr>
          <w:rFonts w:ascii="Book Antiqua" w:hAnsi="Book Antiqua" w:cs="Arial"/>
          <w:i/>
          <w:sz w:val="24"/>
          <w:szCs w:val="24"/>
        </w:rPr>
        <w:t>Ketiga</w:t>
      </w:r>
      <w:r w:rsidRPr="00B240CE">
        <w:rPr>
          <w:rFonts w:ascii="Book Antiqua" w:hAnsi="Book Antiqua" w:cs="Arial"/>
          <w:sz w:val="24"/>
          <w:szCs w:val="24"/>
        </w:rPr>
        <w:t>, hukum menggunakan sistem metode logika tertutup dalam memahami dan menafsirkan peraturan perundang-undangan yang telah ditentukan kebenarannya sebelumnya secara positif berdasarkan logika berpikir tertentu.</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Akal sebagai sarana penalaran pengembangan epistemologi positivisme hukum dapat dipahami dari pemikiran John Austin yang berusaha memahami hukum sebagai hukum positif yang di dalamnya mengandung unsur-unsur yang bersifat perintah, kewajiban dan sanksi.</w:t>
      </w:r>
      <w:r w:rsidRPr="00B240CE">
        <w:rPr>
          <w:rFonts w:ascii="Book Antiqua" w:hAnsi="Book Antiqua" w:cs="Arial"/>
          <w:sz w:val="24"/>
          <w:szCs w:val="24"/>
          <w:vertAlign w:val="superscript"/>
        </w:rPr>
        <w:footnoteReference w:id="20"/>
      </w:r>
      <w:r w:rsidRPr="00B240CE">
        <w:rPr>
          <w:rFonts w:ascii="Book Antiqua" w:hAnsi="Book Antiqua" w:cs="Arial"/>
          <w:sz w:val="24"/>
          <w:szCs w:val="24"/>
        </w:rPr>
        <w:t xml:space="preserve"> Hukum selain itu juga bersifat umum (</w:t>
      </w:r>
      <w:r w:rsidRPr="00B240CE">
        <w:rPr>
          <w:rFonts w:ascii="Book Antiqua" w:hAnsi="Book Antiqua" w:cs="Arial"/>
          <w:i/>
          <w:sz w:val="24"/>
          <w:szCs w:val="24"/>
        </w:rPr>
        <w:t>general command</w:t>
      </w:r>
      <w:r w:rsidRPr="00B240CE">
        <w:rPr>
          <w:rFonts w:ascii="Book Antiqua" w:hAnsi="Book Antiqua" w:cs="Arial"/>
          <w:sz w:val="24"/>
          <w:szCs w:val="24"/>
        </w:rPr>
        <w:t>) yang harus ditaati.</w:t>
      </w:r>
      <w:r w:rsidRPr="00B240CE">
        <w:rPr>
          <w:rFonts w:ascii="Book Antiqua" w:hAnsi="Book Antiqua" w:cs="Arial"/>
          <w:sz w:val="24"/>
          <w:szCs w:val="24"/>
          <w:vertAlign w:val="superscript"/>
        </w:rPr>
        <w:footnoteReference w:id="21"/>
      </w:r>
      <w:r w:rsidRPr="00B240CE">
        <w:rPr>
          <w:rFonts w:ascii="Book Antiqua" w:hAnsi="Book Antiqua" w:cs="Arial"/>
          <w:sz w:val="24"/>
          <w:szCs w:val="24"/>
        </w:rPr>
        <w:t xml:space="preserve"> Logika rasional akal dalam hal ini lebih mudah untuk menerima dan memahami apa yang dimaksud dengan perintah, kewajiban dan sanksi serta sifat umum dari suatu hukum. H.L.A. Hart juga memiliki pemikiran yang hampir sama, bahwa hukum berwujud peraturan perundang-undangan yang dibentuk oleh lembaga yang memiliki otoritas kekuasaan untuk </w:t>
      </w:r>
      <w:r w:rsidRPr="00B240CE">
        <w:rPr>
          <w:rFonts w:ascii="Book Antiqua" w:hAnsi="Book Antiqua" w:cs="Arial"/>
          <w:sz w:val="24"/>
          <w:szCs w:val="24"/>
        </w:rPr>
        <w:lastRenderedPageBreak/>
        <w:t>menggunakan paksaan.</w:t>
      </w:r>
      <w:r w:rsidRPr="00B240CE">
        <w:rPr>
          <w:rFonts w:ascii="Book Antiqua" w:hAnsi="Book Antiqua" w:cs="Arial"/>
          <w:sz w:val="24"/>
          <w:szCs w:val="24"/>
          <w:vertAlign w:val="superscript"/>
        </w:rPr>
        <w:footnoteReference w:id="22"/>
      </w:r>
      <w:r w:rsidRPr="00B240CE">
        <w:rPr>
          <w:rFonts w:ascii="Book Antiqua" w:hAnsi="Book Antiqua" w:cs="Arial"/>
          <w:sz w:val="24"/>
          <w:szCs w:val="24"/>
        </w:rPr>
        <w:t xml:space="preserve"> Hart memahami hukum positif sebagai hukum yang bersifat sekunder sebagai </w:t>
      </w:r>
      <w:r w:rsidRPr="00B240CE">
        <w:rPr>
          <w:rFonts w:ascii="Book Antiqua" w:hAnsi="Book Antiqua" w:cs="Arial"/>
          <w:i/>
          <w:sz w:val="24"/>
          <w:szCs w:val="24"/>
        </w:rPr>
        <w:t>rules of adjudication, rules of change and rule of recognition</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23"/>
      </w:r>
      <w:r w:rsidRPr="00B240CE">
        <w:rPr>
          <w:rFonts w:ascii="Book Antiqua" w:hAnsi="Book Antiqua" w:cs="Arial"/>
          <w:sz w:val="24"/>
          <w:szCs w:val="24"/>
        </w:rPr>
        <w:t xml:space="preserve"> bukan bersifat primer seperti dalam sistem masyarakat yang sederhana,</w:t>
      </w:r>
      <w:r w:rsidRPr="00B240CE">
        <w:rPr>
          <w:rFonts w:ascii="Book Antiqua" w:hAnsi="Book Antiqua" w:cs="Arial"/>
          <w:sz w:val="24"/>
          <w:szCs w:val="24"/>
          <w:vertAlign w:val="superscript"/>
        </w:rPr>
        <w:footnoteReference w:id="24"/>
      </w:r>
      <w:r w:rsidRPr="00B240CE">
        <w:rPr>
          <w:rFonts w:ascii="Book Antiqua" w:hAnsi="Book Antiqua" w:cs="Arial"/>
          <w:sz w:val="24"/>
          <w:szCs w:val="24"/>
        </w:rPr>
        <w:t xml:space="preserve"> karena di dalamnya mengandung anasir-anasir di luar hukum yang sulit untuk dijelaskan lebih lanjut.</w:t>
      </w:r>
      <w:r w:rsidRPr="00B240CE">
        <w:rPr>
          <w:rFonts w:ascii="Book Antiqua" w:hAnsi="Book Antiqua" w:cs="Arial"/>
          <w:sz w:val="24"/>
          <w:szCs w:val="24"/>
          <w:vertAlign w:val="superscript"/>
        </w:rPr>
        <w:footnoteReference w:id="25"/>
      </w:r>
      <w:r w:rsidRPr="00B240CE">
        <w:rPr>
          <w:rFonts w:ascii="Book Antiqua" w:hAnsi="Book Antiqua" w:cs="Arial"/>
          <w:sz w:val="24"/>
          <w:szCs w:val="24"/>
        </w:rPr>
        <w:t xml:space="preserve"> Sarana penalaran akal dalam mengembangkan epistemologi ilmu hukum lebih tegas dikemukakan oleh Hans Kelsen sebagai hukum murni (</w:t>
      </w:r>
      <w:r w:rsidRPr="00B240CE">
        <w:rPr>
          <w:rFonts w:ascii="Book Antiqua" w:hAnsi="Book Antiqua" w:cs="Arial"/>
          <w:i/>
          <w:sz w:val="24"/>
          <w:szCs w:val="24"/>
        </w:rPr>
        <w:t>das reine Recht</w:t>
      </w:r>
      <w:r w:rsidRPr="00B240CE">
        <w:rPr>
          <w:rFonts w:ascii="Book Antiqua" w:hAnsi="Book Antiqua" w:cs="Arial"/>
          <w:sz w:val="24"/>
          <w:szCs w:val="24"/>
        </w:rPr>
        <w:t>). Logika hukum formal yang dikemukakan Hans Kelsen pada dasarnya seperti aliran neo-kantian yang kemudian berkembang menjadi aliran strukturalisme dalam hukum.</w:t>
      </w:r>
      <w:r w:rsidRPr="00B240CE">
        <w:rPr>
          <w:rFonts w:ascii="Book Antiqua" w:hAnsi="Book Antiqua" w:cs="Arial"/>
          <w:sz w:val="24"/>
          <w:szCs w:val="24"/>
          <w:vertAlign w:val="superscript"/>
        </w:rPr>
        <w:footnoteReference w:id="26"/>
      </w:r>
      <w:r w:rsidRPr="00B240CE">
        <w:rPr>
          <w:rFonts w:ascii="Book Antiqua" w:hAnsi="Book Antiqua" w:cs="Arial"/>
          <w:sz w:val="24"/>
          <w:szCs w:val="24"/>
        </w:rPr>
        <w:t xml:space="preserve"> Konsep hukum sangat terkait dengan suatu hubungan negara dengan hukum, karena hukum yang dibentuk negara bersifat umum dan berlaku bagi seluruh rakyat. Prinsip hukum umum ini seperti dikemukakan Kelsen dalam karyanya“</w:t>
      </w:r>
      <w:r w:rsidRPr="00B240CE">
        <w:rPr>
          <w:rFonts w:ascii="Book Antiqua" w:hAnsi="Book Antiqua" w:cs="Arial"/>
          <w:i/>
          <w:sz w:val="24"/>
          <w:szCs w:val="24"/>
        </w:rPr>
        <w:t>General Theory of Law on State”</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27"/>
      </w:r>
      <w:r w:rsidRPr="00B240CE">
        <w:rPr>
          <w:rFonts w:ascii="Book Antiqua" w:hAnsi="Book Antiqua" w:cs="Arial"/>
          <w:sz w:val="24"/>
          <w:szCs w:val="24"/>
        </w:rPr>
        <w:t xml:space="preserve"> Positivisme hukum menurut Kelsen merupakan sebuah teknik khusus yang terbakukan dalam sistem norma hukum yang lepas dari semua pertimbangan irasional. Positivisme hukum Kelsen selain memisahkan hukum dengan hal-hal irasional seperti yang dianut hukum kodrat, juga memisahkan hukum dengan tradisi kebiasaan dan adat istiadat masyarakat yang menjadi budaya hukum seperti yang dianut mahzab sejarah hukum.</w:t>
      </w:r>
      <w:r w:rsidRPr="00B240CE">
        <w:rPr>
          <w:rFonts w:ascii="Book Antiqua" w:hAnsi="Book Antiqua" w:cs="Arial"/>
          <w:sz w:val="24"/>
          <w:szCs w:val="24"/>
          <w:vertAlign w:val="superscript"/>
        </w:rPr>
        <w:footnoteReference w:id="28"/>
      </w:r>
      <w:r w:rsidRPr="00B240CE">
        <w:rPr>
          <w:rFonts w:ascii="Book Antiqua" w:hAnsi="Book Antiqua" w:cs="Arial"/>
          <w:sz w:val="24"/>
          <w:szCs w:val="24"/>
        </w:rPr>
        <w:t xml:space="preserve"> Pemahaman hukum Kelsen tersebut sebagaimana tertuang dalam karyanya teori </w:t>
      </w:r>
      <w:r w:rsidRPr="00B240CE">
        <w:rPr>
          <w:rFonts w:ascii="Book Antiqua" w:hAnsi="Book Antiqua" w:cs="Arial"/>
          <w:sz w:val="24"/>
          <w:szCs w:val="24"/>
        </w:rPr>
        <w:lastRenderedPageBreak/>
        <w:t>hukum murni.</w:t>
      </w:r>
      <w:r w:rsidRPr="00B240CE">
        <w:rPr>
          <w:rFonts w:ascii="Book Antiqua" w:hAnsi="Book Antiqua" w:cs="Arial"/>
          <w:sz w:val="24"/>
          <w:szCs w:val="24"/>
          <w:vertAlign w:val="superscript"/>
        </w:rPr>
        <w:footnoteReference w:id="29"/>
      </w:r>
      <w:r w:rsidRPr="00B240CE">
        <w:rPr>
          <w:rFonts w:ascii="Book Antiqua" w:hAnsi="Book Antiqua" w:cs="Arial"/>
          <w:sz w:val="24"/>
          <w:szCs w:val="24"/>
        </w:rPr>
        <w:t xml:space="preserve"> Artinya, bahwa hukum harus dipisahkan dari anasir-anasir non-hukum, sehingga tujuan hukum hanya untuk mewujudkan kepastian hukum.</w:t>
      </w:r>
      <w:r w:rsidRPr="00B240CE">
        <w:rPr>
          <w:rFonts w:ascii="Book Antiqua" w:hAnsi="Book Antiqua" w:cs="Arial"/>
          <w:sz w:val="24"/>
          <w:szCs w:val="24"/>
          <w:vertAlign w:val="superscript"/>
        </w:rPr>
        <w:footnoteReference w:id="30"/>
      </w:r>
      <w:r w:rsidRPr="00B240CE">
        <w:rPr>
          <w:rFonts w:ascii="Book Antiqua" w:hAnsi="Book Antiqua" w:cs="Arial"/>
          <w:sz w:val="24"/>
          <w:szCs w:val="24"/>
        </w:rPr>
        <w:t xml:space="preserve"> Oleh karena itu, Kelsen disebut sebagai peletak dasar disiplin ilmu hukum yang mandiri dan independen (</w:t>
      </w:r>
      <w:r w:rsidRPr="00B240CE">
        <w:rPr>
          <w:rFonts w:ascii="Book Antiqua" w:hAnsi="Book Antiqua" w:cs="Arial"/>
          <w:i/>
          <w:sz w:val="24"/>
          <w:szCs w:val="24"/>
        </w:rPr>
        <w:t>autonomus discipline</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1"/>
      </w:r>
      <w:r w:rsidRPr="00B240CE">
        <w:rPr>
          <w:rFonts w:ascii="Book Antiqua" w:hAnsi="Book Antiqua" w:cs="Arial"/>
          <w:sz w:val="24"/>
          <w:szCs w:val="24"/>
        </w:rPr>
        <w:t>Sarana penalaran akal dalam metode positivisme menegaskan karakteristik formalism (</w:t>
      </w:r>
      <w:r w:rsidRPr="00B240CE">
        <w:rPr>
          <w:rFonts w:ascii="Book Antiqua" w:hAnsi="Book Antiqua" w:cs="Arial"/>
          <w:i/>
          <w:sz w:val="24"/>
          <w:szCs w:val="24"/>
        </w:rPr>
        <w:t>legal formalism</w:t>
      </w:r>
      <w:r w:rsidRPr="00B240CE">
        <w:rPr>
          <w:rFonts w:ascii="Book Antiqua" w:hAnsi="Book Antiqua" w:cs="Arial"/>
          <w:sz w:val="24"/>
          <w:szCs w:val="24"/>
        </w:rPr>
        <w:t>) yang selalu menggunakan peraturan perundang-undangan untuk mengambil satu kesimpulan hukum (</w:t>
      </w:r>
      <w:r w:rsidRPr="00B240CE">
        <w:rPr>
          <w:rFonts w:ascii="Book Antiqua" w:hAnsi="Book Antiqua" w:cs="Arial"/>
          <w:i/>
          <w:sz w:val="24"/>
          <w:szCs w:val="24"/>
        </w:rPr>
        <w:t>legal conclusions</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2"/>
      </w:r>
      <w:r w:rsidRPr="00B240CE">
        <w:rPr>
          <w:rFonts w:ascii="Book Antiqua" w:hAnsi="Book Antiqua" w:cs="Arial"/>
          <w:i/>
          <w:sz w:val="24"/>
          <w:szCs w:val="24"/>
        </w:rPr>
        <w:t>Legal formalism</w:t>
      </w:r>
      <w:r w:rsidRPr="00B240CE">
        <w:rPr>
          <w:rFonts w:ascii="Book Antiqua" w:hAnsi="Book Antiqua" w:cs="Arial"/>
          <w:sz w:val="24"/>
          <w:szCs w:val="24"/>
        </w:rPr>
        <w:t xml:space="preserve"> selanjutnya terbagi menjadi dua, </w:t>
      </w:r>
      <w:r w:rsidRPr="00B240CE">
        <w:rPr>
          <w:rFonts w:ascii="Book Antiqua" w:hAnsi="Book Antiqua" w:cs="Arial"/>
          <w:i/>
          <w:sz w:val="24"/>
          <w:szCs w:val="24"/>
        </w:rPr>
        <w:t>rule formalism</w:t>
      </w:r>
      <w:r w:rsidRPr="00B240CE">
        <w:rPr>
          <w:rFonts w:ascii="Book Antiqua" w:hAnsi="Book Antiqua" w:cs="Arial"/>
          <w:sz w:val="24"/>
          <w:szCs w:val="24"/>
        </w:rPr>
        <w:t xml:space="preserve"> yang mengajarkan bahwa hukum selalu identik dengan peraturan perundang-undangan dan </w:t>
      </w:r>
      <w:r w:rsidRPr="00B240CE">
        <w:rPr>
          <w:rFonts w:ascii="Book Antiqua" w:hAnsi="Book Antiqua" w:cs="Arial"/>
          <w:i/>
          <w:sz w:val="24"/>
          <w:szCs w:val="24"/>
        </w:rPr>
        <w:t>conceptual formalism</w:t>
      </w:r>
      <w:r w:rsidRPr="00B240CE">
        <w:rPr>
          <w:rFonts w:ascii="Book Antiqua" w:hAnsi="Book Antiqua" w:cs="Arial"/>
          <w:sz w:val="24"/>
          <w:szCs w:val="24"/>
        </w:rPr>
        <w:t xml:space="preserve"> yang mengajarkan bahwa hukum adalah konsep-konsep seperti asas legalitas dan diskresi yang berhubungan satu dengan lainnya secara logis melekat dalam substansi hukum.</w:t>
      </w:r>
      <w:r w:rsidRPr="00B240CE">
        <w:rPr>
          <w:rFonts w:ascii="Book Antiqua" w:hAnsi="Book Antiqua" w:cs="Arial"/>
          <w:sz w:val="24"/>
          <w:szCs w:val="24"/>
          <w:vertAlign w:val="superscript"/>
        </w:rPr>
        <w:footnoteReference w:id="33"/>
      </w:r>
      <w:r w:rsidRPr="00B240CE">
        <w:rPr>
          <w:rFonts w:ascii="Book Antiqua" w:hAnsi="Book Antiqua" w:cs="Arial"/>
          <w:sz w:val="24"/>
          <w:szCs w:val="24"/>
        </w:rPr>
        <w:t>Dalam positivisme hukum, suatu kaedah hukum dapat bersifat mewajibkan karena segi formalnya.</w:t>
      </w:r>
      <w:r w:rsidRPr="00B240CE">
        <w:rPr>
          <w:rFonts w:ascii="Book Antiqua" w:hAnsi="Book Antiqua" w:cs="Arial"/>
          <w:sz w:val="24"/>
          <w:szCs w:val="24"/>
          <w:vertAlign w:val="superscript"/>
        </w:rPr>
        <w:footnoteReference w:id="34"/>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Akal dengan analisisnya secara rasional sebagai sarana penalaran utama dalam mengambangkan epistemologi positivisme hukum tidak selamanya bebas dari kritik dan penolakan. Indera sebagai salah satu sarana penalaran dalam mengambangkan epistemologi ilmu hukum juga menolak logika rasional akal dalam positivisme hukum. Hal ini seperti pandangan mahzab sejarah hukum yang dipelopori Friedrich Karl von Savigny yang melihat hukum tidak selamanya hasil pikiran manusia yang berbentuk peraturan perundang-undangan, tetapi merupakan </w:t>
      </w:r>
      <w:r w:rsidRPr="00B240CE">
        <w:rPr>
          <w:rFonts w:ascii="Book Antiqua" w:hAnsi="Book Antiqua" w:cs="Arial"/>
          <w:sz w:val="24"/>
          <w:szCs w:val="24"/>
        </w:rPr>
        <w:lastRenderedPageBreak/>
        <w:t>spirit dan jiwa bangsa yang tercermin dalam kehidupan masyarakatnya.</w:t>
      </w:r>
      <w:r w:rsidRPr="00B240CE">
        <w:rPr>
          <w:rFonts w:ascii="Book Antiqua" w:hAnsi="Book Antiqua" w:cs="Arial"/>
          <w:sz w:val="24"/>
          <w:szCs w:val="24"/>
          <w:vertAlign w:val="superscript"/>
        </w:rPr>
        <w:footnoteReference w:id="35"/>
      </w:r>
      <w:r w:rsidRPr="00B240CE">
        <w:rPr>
          <w:rFonts w:ascii="Book Antiqua" w:hAnsi="Book Antiqua" w:cs="Arial"/>
          <w:sz w:val="24"/>
          <w:szCs w:val="24"/>
        </w:rPr>
        <w:t xml:space="preserve"> Sumber hukum yang paling utama menurut mahzab sejarah hukum adalah tradisi atau kebiasaan (</w:t>
      </w:r>
      <w:r w:rsidRPr="00B240CE">
        <w:rPr>
          <w:rFonts w:ascii="Book Antiqua" w:hAnsi="Book Antiqua" w:cs="Arial"/>
          <w:i/>
          <w:sz w:val="24"/>
          <w:szCs w:val="24"/>
        </w:rPr>
        <w:t>custom</w:t>
      </w:r>
      <w:r w:rsidRPr="00B240CE">
        <w:rPr>
          <w:rFonts w:ascii="Book Antiqua" w:hAnsi="Book Antiqua" w:cs="Arial"/>
          <w:sz w:val="24"/>
          <w:szCs w:val="24"/>
        </w:rPr>
        <w:t>),</w:t>
      </w:r>
      <w:r w:rsidRPr="00B240CE">
        <w:rPr>
          <w:rFonts w:ascii="Book Antiqua" w:hAnsi="Book Antiqua" w:cs="Arial"/>
          <w:sz w:val="24"/>
          <w:szCs w:val="24"/>
          <w:vertAlign w:val="superscript"/>
        </w:rPr>
        <w:footnoteReference w:id="36"/>
      </w:r>
      <w:r w:rsidRPr="00B240CE">
        <w:rPr>
          <w:rFonts w:ascii="Book Antiqua" w:hAnsi="Book Antiqua" w:cs="Arial"/>
          <w:sz w:val="24"/>
          <w:szCs w:val="24"/>
        </w:rPr>
        <w:t xml:space="preserve"> sehingga dengan melihat atau mengamati kehidupan masyarkat secara inderawi berarti dapat mengetahui hukum yang sebenarnya. Dengan demikian, hukum memiliki relasi dengan kehidupan sosial masyarakat.</w:t>
      </w:r>
      <w:r w:rsidRPr="00B240CE">
        <w:rPr>
          <w:rFonts w:ascii="Book Antiqua" w:hAnsi="Book Antiqua" w:cs="Arial"/>
          <w:sz w:val="24"/>
          <w:szCs w:val="24"/>
          <w:vertAlign w:val="superscript"/>
        </w:rPr>
        <w:footnoteReference w:id="37"/>
      </w:r>
      <w:r w:rsidRPr="00B240CE">
        <w:rPr>
          <w:rFonts w:ascii="Book Antiqua" w:hAnsi="Book Antiqua" w:cs="Arial"/>
          <w:sz w:val="24"/>
          <w:szCs w:val="24"/>
        </w:rPr>
        <w:t xml:space="preserve"> Oleh karena itu, mahzab sejarah hukum juga disebut sebagai peletakkan dasar bagi kajian sosiologi hukum.</w:t>
      </w:r>
      <w:r w:rsidRPr="00B240CE">
        <w:rPr>
          <w:rFonts w:ascii="Book Antiqua" w:hAnsi="Book Antiqua" w:cs="Arial"/>
          <w:sz w:val="24"/>
          <w:szCs w:val="24"/>
          <w:vertAlign w:val="superscript"/>
        </w:rPr>
        <w:footnoteReference w:id="38"/>
      </w:r>
      <w:r w:rsidRPr="00B240CE">
        <w:rPr>
          <w:rFonts w:ascii="Book Antiqua" w:hAnsi="Book Antiqua" w:cs="Arial"/>
          <w:sz w:val="24"/>
          <w:szCs w:val="24"/>
        </w:rPr>
        <w:t xml:space="preserve"> Hukum tidak memiliki bentuk dan subtansi secara khusus seperti peraturan perundang-undangan yang dibentuk oleh lembaga negara,</w:t>
      </w:r>
      <w:r w:rsidRPr="00B240CE">
        <w:rPr>
          <w:rFonts w:ascii="Book Antiqua" w:hAnsi="Book Antiqua" w:cs="Arial"/>
          <w:sz w:val="24"/>
          <w:szCs w:val="24"/>
          <w:vertAlign w:val="superscript"/>
        </w:rPr>
        <w:footnoteReference w:id="39"/>
      </w:r>
      <w:r w:rsidRPr="00B240CE">
        <w:rPr>
          <w:rFonts w:ascii="Book Antiqua" w:hAnsi="Book Antiqua" w:cs="Arial"/>
          <w:sz w:val="24"/>
          <w:szCs w:val="24"/>
        </w:rPr>
        <w:t xml:space="preserve"> tetapi hukum tergantung dari perkembangan kehidupan yang ada di dalam masyarakat.</w:t>
      </w:r>
      <w:r w:rsidRPr="00B240CE">
        <w:rPr>
          <w:rFonts w:ascii="Book Antiqua" w:hAnsi="Book Antiqua" w:cs="Arial"/>
          <w:sz w:val="24"/>
          <w:szCs w:val="24"/>
          <w:vertAlign w:val="superscript"/>
        </w:rPr>
        <w:footnoteReference w:id="40"/>
      </w:r>
      <w:r w:rsidRPr="00B240CE">
        <w:rPr>
          <w:rFonts w:ascii="Book Antiqua" w:hAnsi="Book Antiqua" w:cs="Arial"/>
          <w:sz w:val="24"/>
          <w:szCs w:val="24"/>
        </w:rPr>
        <w:t xml:space="preserve"> Menurut Savigny semua sistem hukum berasal atau bersumber dari suatu kebiasaan dan dalam perkembangannya kemudian hukum dihasilkan melalui aktivitas dan kreasi pembuat hukum.</w:t>
      </w:r>
      <w:r w:rsidRPr="00B240CE">
        <w:rPr>
          <w:rFonts w:ascii="Book Antiqua" w:hAnsi="Book Antiqua" w:cs="Arial"/>
          <w:sz w:val="24"/>
          <w:szCs w:val="24"/>
          <w:vertAlign w:val="superscript"/>
        </w:rPr>
        <w:footnoteReference w:id="41"/>
      </w:r>
      <w:r w:rsidRPr="00B240CE">
        <w:rPr>
          <w:rFonts w:ascii="Book Antiqua" w:hAnsi="Book Antiqua" w:cs="Arial"/>
          <w:sz w:val="24"/>
          <w:szCs w:val="24"/>
        </w:rPr>
        <w:t xml:space="preserve"> Hal ini seperti pandangan Savigny dalam pengembangan hukum Jerman yang tidak boleh meninggalkan pentingnya kebiasaan masyarakat sebagai sumber hukum dan membuang hukum yang tercipta karena ketidaktahuan, kelalaian atau tidak diperlukan dalam kebutuhan praktik.</w:t>
      </w:r>
      <w:r w:rsidRPr="00B240CE">
        <w:rPr>
          <w:rFonts w:ascii="Book Antiqua" w:hAnsi="Book Antiqua" w:cs="Arial"/>
          <w:sz w:val="24"/>
          <w:szCs w:val="24"/>
          <w:vertAlign w:val="superscript"/>
        </w:rPr>
        <w:footnoteReference w:id="42"/>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Sarana penalaran indera dapat digunakan untuk melihat perkembangan hukum yang ada di masyarakat, seperti melihat beberapa tahap perkembangan </w:t>
      </w:r>
      <w:r w:rsidRPr="00B240CE">
        <w:rPr>
          <w:rFonts w:ascii="Book Antiqua" w:hAnsi="Book Antiqua" w:cs="Arial"/>
          <w:sz w:val="24"/>
          <w:szCs w:val="24"/>
        </w:rPr>
        <w:lastRenderedPageBreak/>
        <w:t xml:space="preserve">hukum dan masyarakat yang disampaikan Savigny. </w:t>
      </w:r>
      <w:r w:rsidRPr="00B240CE">
        <w:rPr>
          <w:rFonts w:ascii="Book Antiqua" w:hAnsi="Book Antiqua" w:cs="Arial"/>
          <w:i/>
          <w:sz w:val="24"/>
          <w:szCs w:val="24"/>
        </w:rPr>
        <w:t>Tahap pertama</w:t>
      </w:r>
      <w:r w:rsidRPr="00B240CE">
        <w:rPr>
          <w:rFonts w:ascii="Book Antiqua" w:hAnsi="Book Antiqua" w:cs="Arial"/>
          <w:sz w:val="24"/>
          <w:szCs w:val="24"/>
        </w:rPr>
        <w:t>, memahami hukum sebagai bagian dari keyakinan dan spirit masyarakat (</w:t>
      </w:r>
      <w:r w:rsidRPr="00B240CE">
        <w:rPr>
          <w:rFonts w:ascii="Book Antiqua" w:hAnsi="Book Antiqua" w:cs="Arial"/>
          <w:i/>
          <w:sz w:val="24"/>
          <w:szCs w:val="24"/>
        </w:rPr>
        <w:t>volksglauben</w:t>
      </w:r>
      <w:r w:rsidRPr="00B240CE">
        <w:rPr>
          <w:rFonts w:ascii="Book Antiqua" w:hAnsi="Book Antiqua" w:cs="Arial"/>
          <w:sz w:val="24"/>
          <w:szCs w:val="24"/>
        </w:rPr>
        <w:t xml:space="preserve">). </w:t>
      </w:r>
      <w:r w:rsidRPr="00B240CE">
        <w:rPr>
          <w:rFonts w:ascii="Book Antiqua" w:hAnsi="Book Antiqua" w:cs="Arial"/>
          <w:i/>
          <w:sz w:val="24"/>
          <w:szCs w:val="24"/>
        </w:rPr>
        <w:t>Tahap kedua</w:t>
      </w:r>
      <w:r w:rsidRPr="00B240CE">
        <w:rPr>
          <w:rFonts w:ascii="Book Antiqua" w:hAnsi="Book Antiqua" w:cs="Arial"/>
          <w:sz w:val="24"/>
          <w:szCs w:val="24"/>
        </w:rPr>
        <w:t>, mentransformasikan elemen-elemen politik menjadi elemen teknis hukum (</w:t>
      </w:r>
      <w:r w:rsidRPr="00B240CE">
        <w:rPr>
          <w:rFonts w:ascii="Book Antiqua" w:hAnsi="Book Antiqua" w:cs="Arial"/>
          <w:i/>
          <w:sz w:val="24"/>
          <w:szCs w:val="24"/>
        </w:rPr>
        <w:t>technical elements of juristic skill</w:t>
      </w:r>
      <w:r w:rsidRPr="00B240CE">
        <w:rPr>
          <w:rFonts w:ascii="Book Antiqua" w:hAnsi="Book Antiqua" w:cs="Arial"/>
          <w:sz w:val="24"/>
          <w:szCs w:val="24"/>
        </w:rPr>
        <w:t xml:space="preserve">). </w:t>
      </w:r>
      <w:r w:rsidRPr="00B240CE">
        <w:rPr>
          <w:rFonts w:ascii="Book Antiqua" w:hAnsi="Book Antiqua" w:cs="Arial"/>
          <w:i/>
          <w:sz w:val="24"/>
          <w:szCs w:val="24"/>
        </w:rPr>
        <w:t>Tahap ketiga</w:t>
      </w:r>
      <w:r w:rsidRPr="00B240CE">
        <w:rPr>
          <w:rFonts w:ascii="Book Antiqua" w:hAnsi="Book Antiqua" w:cs="Arial"/>
          <w:sz w:val="24"/>
          <w:szCs w:val="24"/>
        </w:rPr>
        <w:t>, menurunnya eksistensi hukum dalam suatu masyarakat.</w:t>
      </w:r>
      <w:r w:rsidRPr="00B240CE">
        <w:rPr>
          <w:rFonts w:ascii="Book Antiqua" w:hAnsi="Book Antiqua" w:cs="Arial"/>
          <w:sz w:val="24"/>
          <w:szCs w:val="24"/>
          <w:vertAlign w:val="superscript"/>
        </w:rPr>
        <w:footnoteReference w:id="43"/>
      </w:r>
      <w:r w:rsidRPr="00B240CE">
        <w:rPr>
          <w:rFonts w:ascii="Book Antiqua" w:hAnsi="Book Antiqua" w:cs="Arial"/>
          <w:sz w:val="24"/>
          <w:szCs w:val="24"/>
        </w:rPr>
        <w:t xml:space="preserve"> Dengan demikian, hukum adalah sesuatu yang senantiasa berubah dan berevolusi, sehingga sesuatu yang benar menurut sejarah juga benar menurut hukum.</w:t>
      </w:r>
      <w:r w:rsidRPr="00B240CE">
        <w:rPr>
          <w:rFonts w:ascii="Book Antiqua" w:hAnsi="Book Antiqua" w:cs="Arial"/>
          <w:sz w:val="24"/>
          <w:szCs w:val="24"/>
          <w:vertAlign w:val="superscript"/>
        </w:rPr>
        <w:footnoteReference w:id="44"/>
      </w:r>
      <w:r w:rsidRPr="00B240CE">
        <w:rPr>
          <w:rFonts w:ascii="Book Antiqua" w:hAnsi="Book Antiqua" w:cs="Arial"/>
          <w:sz w:val="24"/>
          <w:szCs w:val="24"/>
        </w:rPr>
        <w:t xml:space="preserve"> Hukum merupakan kreasi masyarakat sebagai ekspresi dari spirit dan jiwa masyarakat, bukan kodifikai hukum seperti </w:t>
      </w:r>
      <w:r w:rsidRPr="00B240CE">
        <w:rPr>
          <w:rFonts w:ascii="Book Antiqua" w:hAnsi="Book Antiqua" w:cs="Arial"/>
          <w:i/>
          <w:sz w:val="24"/>
          <w:szCs w:val="24"/>
        </w:rPr>
        <w:t>code napoleon</w:t>
      </w:r>
      <w:r w:rsidRPr="00B240CE">
        <w:rPr>
          <w:rFonts w:ascii="Book Antiqua" w:hAnsi="Book Antiqua" w:cs="Arial"/>
          <w:sz w:val="24"/>
          <w:szCs w:val="24"/>
        </w:rPr>
        <w:t xml:space="preserve"> yang cenderung bersifat rasionalis.</w:t>
      </w:r>
      <w:r w:rsidRPr="00B240CE">
        <w:rPr>
          <w:rFonts w:ascii="Book Antiqua" w:hAnsi="Book Antiqua" w:cs="Arial"/>
          <w:sz w:val="24"/>
          <w:szCs w:val="24"/>
          <w:vertAlign w:val="superscript"/>
        </w:rPr>
        <w:footnoteReference w:id="45"/>
      </w:r>
      <w:r w:rsidRPr="00B240CE">
        <w:rPr>
          <w:rFonts w:ascii="Book Antiqua" w:hAnsi="Book Antiqua" w:cs="Arial"/>
          <w:sz w:val="24"/>
          <w:szCs w:val="24"/>
        </w:rPr>
        <w:t xml:space="preserve"> Mahzab sejarah hukum yang epistemologinya dikembangkan dengan sarana penalaran indera selain menolak sarana penalaran akal seperti dalam positivisme hukum juga menolak sarana penalaran hati nurani seperti dalam hukum kodrat. Hal ini seperti nampak dalam pandangan mahzab sejarah hukum yang dipelopori oleh Savigny menolak nilai-nilai universalisme dari suatu proposisi natural dalam hukum kodrat.</w:t>
      </w:r>
      <w:r w:rsidRPr="00B240CE">
        <w:rPr>
          <w:rFonts w:ascii="Book Antiqua" w:hAnsi="Book Antiqua" w:cs="Arial"/>
          <w:sz w:val="24"/>
          <w:szCs w:val="24"/>
          <w:vertAlign w:val="superscript"/>
        </w:rPr>
        <w:footnoteReference w:id="46"/>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Perkembangan teori hukum tersebut apabila dikaji lebih dalam, maka dapat menunjukkan permasalahan. Berbagai perbedaan aspek ontologi, epistemologi dan aksiologi pada taraf tertentu dapat menimbulkan konflik dalam rangka mengklaim kebenaran yang dimiliki. Epistemologi sebagai suatu metode dalam menggali dan memperoleh kebenaran terkait erat dengan sarana penalaran manusia yang berupa indera, akal dan hati nurani memiliki peran yang penting dalam ilmu hukum. Dalam beberapa keadaan, manusia cenderung hanya menggunakan salah satu atau </w:t>
      </w:r>
      <w:r w:rsidRPr="00B240CE">
        <w:rPr>
          <w:rFonts w:ascii="Book Antiqua" w:hAnsi="Book Antiqua" w:cs="Arial"/>
          <w:sz w:val="24"/>
          <w:szCs w:val="24"/>
        </w:rPr>
        <w:lastRenderedPageBreak/>
        <w:t>beberapa sarana penalaran saja, sehingga hal ini dapat menimbulkan permasalahan yang timbul akibat cara pandang atau pemahaman yang sempit. Hati nurani sebagai sarana penalaran dalam mengembangkan teori hukum kodrat tidak mengakui kebenaran yang dihasilkan dari akal sebagai sarana penalaran dalam mengembangkan teori positivisme hukum dan indera sebagai sarana penalaran dalam mengembangkan mahzab sejarah hukum. Akal sebagai sarana penalaran dalam mengembangkan teori positivisme hukum tidak mengakui kebenaran yang dihasilkan dari indera sebagai sarana penalaran dalam mengembangkan mahzab sejarah hukum dan hati nurani sebagai sarana penalaran dalam mengembangkan teori hukum kodrat. Indera sebagai sarana penalaran dalam mengembangkan epistemologi mahzab sejarah hukum tidak mengakui kebenaran yang dihasilkan dari hati nurani sebagai sarana penalaran dalam mengembangkan epistemologi teori hukum kodrat dan akal sebagai sarana penalaran dalam mengembangkan epistemologi teori positivisme hukum.</w:t>
      </w:r>
    </w:p>
    <w:p w:rsidR="008F455D" w:rsidRPr="00B240CE" w:rsidRDefault="008F455D" w:rsidP="008F455D">
      <w:pPr>
        <w:spacing w:after="0" w:line="480" w:lineRule="auto"/>
        <w:ind w:firstLine="720"/>
        <w:jc w:val="both"/>
        <w:rPr>
          <w:rFonts w:ascii="Book Antiqua" w:hAnsi="Book Antiqua" w:cs="Arial"/>
          <w:sz w:val="24"/>
          <w:szCs w:val="24"/>
        </w:rPr>
      </w:pPr>
      <w:r w:rsidRPr="00B240CE">
        <w:rPr>
          <w:rFonts w:ascii="Book Antiqua" w:hAnsi="Book Antiqua" w:cs="Arial"/>
          <w:sz w:val="24"/>
          <w:szCs w:val="24"/>
        </w:rPr>
        <w:t xml:space="preserve">Cara pandang dan pemahaman yang sempit tersebut dapat menimbulkan permasalahan berupa konflik sarana penalaran dalam mengembangkan epistemologi ilmu hukum, oleh karena itu harus diperbaiki dengan suatu konsep yang mampu menampung segala kelebihan dan kelemahan untuk melakukan dialektik dalam rangka mencapai satu titik temu kebenaran. Konsep konvergensi epistemologi berkeadaban dalam tahap dialektik pemikiran ilmu hukum menjadi sebuah tawaran solusi atas permasalahan tersebut. Konsep tersebut memiliki arti, bahwa kebenaran diperoleh dari satu titik temu kecerdasan nalar tertinggi hasil dialektik pemikiran ilmu hukum yang melibatkan seluruh sarana penalaran utama </w:t>
      </w:r>
      <w:r w:rsidRPr="00B240CE">
        <w:rPr>
          <w:rFonts w:ascii="Book Antiqua" w:hAnsi="Book Antiqua" w:cs="Arial"/>
          <w:sz w:val="24"/>
          <w:szCs w:val="24"/>
        </w:rPr>
        <w:lastRenderedPageBreak/>
        <w:t>manusia berupa indera, akal dan hati nurani. Istilah kata konvergensi berkeadaban diambil dari pemikiran para tokoh, arti kebahasaan dan nilai-nilai Islam yang kemudia dikontruksikan ke dalam tahap dialektik pemikiran ilmu hukum menjadi konsep konvergensi epistemologi berkeadaban.</w:t>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Epistemologi menurut Jujun Suriasumantri merupakan telaah secara filsafat yang ingin menjawab beberapa pertanyaan hakikat ilmu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Bagaimana proses yang memungkinkan ditimbanya pengetahuan yang berupa ilmu? bagaimana prosedurnya? hal-hal apa yang harus diperhatikan agar kita mendapatkan pengetahuan yang benar? apa yang disebut kebenaran itu sendiri? Apa kriterianya? Cara/teknik/sarana apa yang membantu kita dalam mendapatkan pengetahuan yang berupa ilmu?</w:t>
      </w:r>
      <w:r w:rsidRPr="00B240CE">
        <w:rPr>
          <w:rStyle w:val="FootnoteReference"/>
          <w:rFonts w:ascii="Book Antiqua" w:eastAsia="Times New Roman" w:hAnsi="Book Antiqua" w:cs="Arial"/>
          <w:sz w:val="24"/>
          <w:szCs w:val="24"/>
        </w:rPr>
        <w:footnoteReference w:id="47"/>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Epistemologi sebagai cara untuk mendapatkan ilmu pengetahuan, menurut Jujun Suriasumantri dipengaruhi oleh penalaran, karena penalaran merupakan suatu proses dalam penemuan kebenaran. Penalaran juga merupakan proses berpikir dalam menarik suatu kesimpulan yang berupa pengetahuan. Dalam melakukan penalaran, manusia memiliki sarana utama yang berupa indera untuk melakukan penalaran secara empiris dengan metode induktif, akal untuk melakukan penalaran secara rasional dengan metode deduktif dan hati nurani untuk melakukan penalaran melalui perasaan dengan metode intuisi.</w:t>
      </w:r>
      <w:r w:rsidRPr="00B240CE">
        <w:rPr>
          <w:rStyle w:val="FootnoteReference"/>
          <w:rFonts w:ascii="Book Antiqua" w:eastAsia="Times New Roman" w:hAnsi="Book Antiqua" w:cs="Arial"/>
          <w:sz w:val="24"/>
          <w:szCs w:val="24"/>
        </w:rPr>
        <w:footnoteReference w:id="48"/>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          Sarana penalaran yang digunakan untuk menemukan kebenaran dalam kajian epistemologi terkait erat dengan aspek ontologi. Hal tersebut dapat dilihat dari kajian ontologi yang berusaha ingin menjawab pertanyaan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Objek apa yang ditelaah ilmu? bagaimana wujud hakiki dari objek tersebut? bagaimana hubungan antara objek tadi dengan daya tangkap manusia (seperti berpikir, merasa dan mengindera) yang membuahkan pengetahuan</w:t>
      </w:r>
      <w:r w:rsidRPr="00B240CE">
        <w:rPr>
          <w:rFonts w:ascii="Book Antiqua" w:eastAsia="Times New Roman" w:hAnsi="Book Antiqua" w:cs="Arial"/>
          <w:sz w:val="24"/>
          <w:szCs w:val="24"/>
        </w:rPr>
        <w:t>.</w:t>
      </w:r>
      <w:r w:rsidRPr="00B240CE">
        <w:rPr>
          <w:rStyle w:val="FootnoteReference"/>
          <w:rFonts w:ascii="Book Antiqua" w:eastAsia="Times New Roman" w:hAnsi="Book Antiqua" w:cs="Arial"/>
          <w:sz w:val="24"/>
          <w:szCs w:val="24"/>
        </w:rPr>
        <w:footnoteReference w:id="49"/>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Ontologi yang membahas tentang objek yang dikaji oleh pengetahuan tentu dipengaruhi oleh sarana penalaran manusia yang digunakan untuk menangkapnya, seperti kaum empiris menggunakan indera sebagai sarana penalaran untuk menangkap objek dari pengalaman yang bersifat konkrit, kaum rasionalis menggunakan akal (rasio) sebagai sarana penalaran untuk menangkap objek berupa ide-ide prapengalaman yang bersifat apriori, dan intuisi hati nurani yang digunakan sebagai sarana penalaran untuk menangkap atau merasakan objek yang muncul tanpa sadar di dalam benak manusia yang bersifat personal.</w:t>
      </w:r>
      <w:r w:rsidRPr="00B240CE">
        <w:rPr>
          <w:rStyle w:val="FootnoteReference"/>
          <w:rFonts w:ascii="Book Antiqua" w:eastAsia="Times New Roman" w:hAnsi="Book Antiqua" w:cs="Arial"/>
          <w:sz w:val="24"/>
          <w:szCs w:val="24"/>
        </w:rPr>
        <w:footnoteReference w:id="50"/>
      </w:r>
    </w:p>
    <w:p w:rsidR="008F455D" w:rsidRPr="00B240CE"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 xml:space="preserve">          Pengetahuan yang diperolah manusia melalui sarana penalaran indera, akal dan hati nurani seperti dalam kajian epistemologi memiliki nilai kegunaan masing-masing sebagaimana dijelaskan aspek aksiologi yang berusaha menjawab pertanyaan tentang;</w:t>
      </w:r>
    </w:p>
    <w:p w:rsidR="008F455D" w:rsidRPr="00B240CE" w:rsidRDefault="008F455D" w:rsidP="008F455D">
      <w:pPr>
        <w:tabs>
          <w:tab w:val="right" w:leader="dot" w:pos="7938"/>
        </w:tabs>
        <w:spacing w:after="0" w:line="240" w:lineRule="auto"/>
        <w:jc w:val="both"/>
        <w:rPr>
          <w:rFonts w:ascii="Book Antiqua" w:eastAsia="Times New Roman" w:hAnsi="Book Antiqua" w:cs="Arial"/>
          <w:sz w:val="24"/>
          <w:szCs w:val="24"/>
        </w:rPr>
      </w:pPr>
      <w:r w:rsidRPr="00B240CE">
        <w:rPr>
          <w:rFonts w:ascii="Book Antiqua" w:eastAsia="Times New Roman" w:hAnsi="Book Antiqua" w:cs="Arial"/>
          <w:i/>
          <w:sz w:val="24"/>
          <w:szCs w:val="24"/>
        </w:rPr>
        <w:t>Untuk apa pengetahuan yang berupa ilmu itu dipergunakan? bagaimana kaitan antara cara penggunaan tersebut dengan kaidah-kaidah moral? bagaimana penentuan objek yang ditelaah berdasarkan pilihan-pilihan moral? bagaimana kaitan antara teknik prosedural yang merupakan operasionalisasi metode ilmiah dengan norma-norma moral/profesional.</w:t>
      </w:r>
      <w:r w:rsidRPr="00B240CE">
        <w:rPr>
          <w:rFonts w:ascii="Book Antiqua" w:eastAsia="Times New Roman" w:hAnsi="Book Antiqua" w:cs="Arial"/>
          <w:i/>
          <w:sz w:val="24"/>
          <w:szCs w:val="24"/>
          <w:vertAlign w:val="superscript"/>
        </w:rPr>
        <w:footnoteReference w:id="51"/>
      </w:r>
    </w:p>
    <w:p w:rsidR="00BA3FB1" w:rsidRDefault="00BA3FB1" w:rsidP="008F455D">
      <w:pPr>
        <w:tabs>
          <w:tab w:val="right" w:leader="dot" w:pos="7938"/>
        </w:tabs>
        <w:spacing w:after="0" w:line="480" w:lineRule="auto"/>
        <w:jc w:val="both"/>
        <w:rPr>
          <w:rFonts w:ascii="Book Antiqua" w:eastAsia="Times New Roman" w:hAnsi="Book Antiqua" w:cs="Arial"/>
          <w:sz w:val="24"/>
          <w:szCs w:val="24"/>
        </w:rPr>
      </w:pPr>
    </w:p>
    <w:p w:rsidR="008F455D" w:rsidRPr="00B240CE" w:rsidRDefault="00BA3FB1" w:rsidP="008F455D">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8F455D" w:rsidRPr="00B240CE">
        <w:rPr>
          <w:rFonts w:ascii="Book Antiqua" w:eastAsia="Times New Roman" w:hAnsi="Book Antiqua" w:cs="Arial"/>
          <w:sz w:val="24"/>
          <w:szCs w:val="24"/>
        </w:rPr>
        <w:t>Dalam hal ini mengandung arti, bahwa ilmu pengetahuan yang telah diperoleh manusia melalui penalaran indera, akal dan hati nurani harus dipergunakan dengan baik sesuai dengan kaidah dan norma moral.</w:t>
      </w:r>
    </w:p>
    <w:p w:rsidR="00BA3FB1" w:rsidRDefault="008F455D" w:rsidP="008F455D">
      <w:pPr>
        <w:tabs>
          <w:tab w:val="right" w:leader="dot" w:pos="7938"/>
        </w:tabs>
        <w:spacing w:after="0" w:line="480" w:lineRule="auto"/>
        <w:jc w:val="both"/>
        <w:rPr>
          <w:rFonts w:ascii="Book Antiqua" w:eastAsia="Times New Roman" w:hAnsi="Book Antiqua" w:cs="Arial"/>
          <w:sz w:val="24"/>
          <w:szCs w:val="24"/>
        </w:rPr>
      </w:pPr>
      <w:r w:rsidRPr="00B240CE">
        <w:rPr>
          <w:rFonts w:ascii="Book Antiqua" w:eastAsia="Times New Roman" w:hAnsi="Book Antiqua" w:cs="Arial"/>
          <w:sz w:val="24"/>
          <w:szCs w:val="24"/>
        </w:rPr>
        <w:tab/>
      </w:r>
      <w:r w:rsidRPr="00B240CE">
        <w:rPr>
          <w:rFonts w:ascii="Book Antiqua" w:hAnsi="Book Antiqua" w:cs="Arial"/>
          <w:sz w:val="24"/>
          <w:szCs w:val="24"/>
        </w:rPr>
        <w:t xml:space="preserve">Islam bukan hanya sekedar agama, tetapi juga merupakan pandangan tentang ilmu pengetahuan, karena Islam menghargai dan menjunjung tinggi ilmu pengetahuan. Ibadah tanpa dilandasi ilmu pengetahuan tidak bernilai apapun, sedangkan berilmu pengetahuan tanpa dasar ibadah akan mengkufurkan manusia. Oleh karena itu, </w:t>
      </w:r>
      <w:r w:rsidRPr="00B240CE">
        <w:rPr>
          <w:rFonts w:ascii="Book Antiqua" w:hAnsi="Book Antiqua" w:cs="Arial"/>
          <w:sz w:val="24"/>
          <w:szCs w:val="24"/>
        </w:rPr>
        <w:lastRenderedPageBreak/>
        <w:t>Islam  sebagaimana disebutkan dalam al-Quran dapat membentuk dan mengarahkan semua kegiatan secara ilmiah. Hal ini seperti pandangan Ziauddin Sardar tentang keilmiahan Islam dalam al-Quran yang dapat dapahami dengan adanya metodologi mekanisme secara filsafat yang digali dari indera, akal dan hati nurani.</w:t>
      </w:r>
      <w:r w:rsidRPr="00B240CE">
        <w:rPr>
          <w:rStyle w:val="FootnoteReference"/>
          <w:rFonts w:ascii="Book Antiqua" w:hAnsi="Book Antiqua" w:cs="Arial"/>
          <w:sz w:val="24"/>
          <w:szCs w:val="24"/>
        </w:rPr>
        <w:footnoteReference w:id="52"/>
      </w:r>
      <w:r w:rsidRPr="00B240CE">
        <w:rPr>
          <w:rFonts w:ascii="Book Antiqua" w:hAnsi="Book Antiqua" w:cs="Arial"/>
          <w:sz w:val="24"/>
          <w:szCs w:val="24"/>
        </w:rPr>
        <w:t xml:space="preserve">Menurut al-Jabiri terdapat epistemologi yang cukup representatif untuk menjelaskan perkembangan pemikiran Islam, yaitu; </w:t>
      </w:r>
      <w:r w:rsidRPr="00B240CE">
        <w:rPr>
          <w:rFonts w:ascii="Book Antiqua" w:hAnsi="Book Antiqua" w:cs="Arial"/>
          <w:i/>
          <w:sz w:val="24"/>
          <w:szCs w:val="24"/>
        </w:rPr>
        <w:t xml:space="preserve">bayani </w:t>
      </w:r>
      <w:r w:rsidRPr="00B240CE">
        <w:rPr>
          <w:rFonts w:ascii="Book Antiqua" w:hAnsi="Book Antiqua" w:cs="Arial"/>
          <w:sz w:val="24"/>
          <w:szCs w:val="24"/>
        </w:rPr>
        <w:t xml:space="preserve">melalui analogi bersifat inderawi, </w:t>
      </w:r>
      <w:r w:rsidRPr="00B240CE">
        <w:rPr>
          <w:rFonts w:ascii="Book Antiqua" w:hAnsi="Book Antiqua" w:cs="Arial"/>
          <w:i/>
          <w:sz w:val="24"/>
          <w:szCs w:val="24"/>
        </w:rPr>
        <w:t>burhani</w:t>
      </w:r>
      <w:r w:rsidRPr="00B240CE">
        <w:rPr>
          <w:rFonts w:ascii="Book Antiqua" w:hAnsi="Book Antiqua" w:cs="Arial"/>
          <w:sz w:val="24"/>
          <w:szCs w:val="24"/>
        </w:rPr>
        <w:t xml:space="preserve"> melalui akal dan </w:t>
      </w:r>
      <w:r w:rsidRPr="00B240CE">
        <w:rPr>
          <w:rFonts w:ascii="Book Antiqua" w:hAnsi="Book Antiqua" w:cs="Arial"/>
          <w:i/>
          <w:sz w:val="24"/>
          <w:szCs w:val="24"/>
        </w:rPr>
        <w:t xml:space="preserve">irfani </w:t>
      </w:r>
      <w:r w:rsidRPr="00B240CE">
        <w:rPr>
          <w:rFonts w:ascii="Book Antiqua" w:hAnsi="Book Antiqua" w:cs="Arial"/>
          <w:sz w:val="24"/>
          <w:szCs w:val="24"/>
        </w:rPr>
        <w:t>melalui hati nurani.</w:t>
      </w:r>
      <w:r w:rsidRPr="00B240CE">
        <w:rPr>
          <w:rStyle w:val="FootnoteReference"/>
          <w:rFonts w:ascii="Book Antiqua" w:hAnsi="Book Antiqua" w:cs="Arial"/>
          <w:sz w:val="24"/>
          <w:szCs w:val="24"/>
        </w:rPr>
        <w:footnoteReference w:id="53"/>
      </w:r>
      <w:r w:rsidRPr="00B240CE">
        <w:rPr>
          <w:rFonts w:ascii="Book Antiqua" w:eastAsia="Times New Roman" w:hAnsi="Book Antiqua" w:cs="Arial"/>
          <w:sz w:val="24"/>
          <w:szCs w:val="24"/>
        </w:rPr>
        <w:t>Dalam Islam, cara mendapatkan pengetahuan (epistemologi) dapat melalui sarana penalaran indera, akal dan hati nurani.</w:t>
      </w:r>
      <w:r w:rsidRPr="00B240CE">
        <w:rPr>
          <w:rStyle w:val="FootnoteReference"/>
          <w:rFonts w:ascii="Book Antiqua" w:eastAsia="Times New Roman" w:hAnsi="Book Antiqua" w:cs="Arial"/>
          <w:sz w:val="24"/>
          <w:szCs w:val="24"/>
        </w:rPr>
        <w:footnoteReference w:id="54"/>
      </w:r>
      <w:r w:rsidRPr="00B240CE">
        <w:rPr>
          <w:rFonts w:ascii="Book Antiqua" w:eastAsia="Times New Roman" w:hAnsi="Book Antiqua" w:cs="Arial"/>
          <w:sz w:val="24"/>
          <w:szCs w:val="24"/>
        </w:rPr>
        <w:t>Sarana penalaran Indera, akal dan hati nurani dalam proses epistemologi merupakan saranayang penting bagi manusia untuk menggali dan memperoleh kebenaran.</w:t>
      </w:r>
      <w:r w:rsidRPr="00B240CE">
        <w:rPr>
          <w:rStyle w:val="FootnoteReference"/>
          <w:rFonts w:ascii="Book Antiqua" w:eastAsia="Times New Roman" w:hAnsi="Book Antiqua" w:cs="Arial"/>
          <w:sz w:val="24"/>
          <w:szCs w:val="24"/>
        </w:rPr>
        <w:footnoteReference w:id="55"/>
      </w:r>
    </w:p>
    <w:p w:rsidR="008F455D" w:rsidRPr="00B240CE" w:rsidRDefault="00BA3FB1" w:rsidP="008F455D">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8F455D" w:rsidRPr="00B240CE">
        <w:rPr>
          <w:rFonts w:ascii="Book Antiqua" w:eastAsia="Times New Roman" w:hAnsi="Book Antiqua" w:cs="Arial"/>
          <w:sz w:val="24"/>
          <w:szCs w:val="24"/>
        </w:rPr>
        <w:t>Tuhan memerintahkan manusia untuk menggunakan indera, akal dan hati nurani sebagai sarana penalaran untuk mendapatkan hikmah kebenaran pengetahuan. Al-Quran telah jelas menyatakan, bahwa manusia diberikan anugerah oleh Allah berupa indera, akal dan hati nurani.</w:t>
      </w:r>
      <w:r w:rsidR="008F455D" w:rsidRPr="00B240CE">
        <w:rPr>
          <w:rStyle w:val="FootnoteReference"/>
          <w:rFonts w:ascii="Book Antiqua" w:eastAsia="Times New Roman" w:hAnsi="Book Antiqua" w:cs="Arial"/>
          <w:sz w:val="24"/>
          <w:szCs w:val="24"/>
        </w:rPr>
        <w:footnoteReference w:id="56"/>
      </w:r>
      <w:r w:rsidR="008F455D" w:rsidRPr="00B240CE">
        <w:rPr>
          <w:rFonts w:ascii="Book Antiqua" w:eastAsia="Times New Roman" w:hAnsi="Book Antiqua" w:cs="Arial"/>
          <w:sz w:val="24"/>
          <w:szCs w:val="24"/>
        </w:rPr>
        <w:t xml:space="preserve"> Allah mewajibkan manusia untuk menggunakan indera, akal dan hati nurani dengan baik dan Allah sangat memurkai orang-orang yang tidak mau menggunakan indera, akal dan hati nurani tersebut.</w:t>
      </w:r>
      <w:r w:rsidR="008F455D" w:rsidRPr="00B240CE">
        <w:rPr>
          <w:rStyle w:val="FootnoteReference"/>
          <w:rFonts w:ascii="Book Antiqua" w:eastAsia="Times New Roman" w:hAnsi="Book Antiqua" w:cs="Arial"/>
          <w:sz w:val="24"/>
          <w:szCs w:val="24"/>
        </w:rPr>
        <w:footnoteReference w:id="57"/>
      </w:r>
      <w:r w:rsidR="008F455D" w:rsidRPr="00B240CE">
        <w:rPr>
          <w:rFonts w:ascii="Book Antiqua" w:eastAsia="Times New Roman" w:hAnsi="Book Antiqua" w:cs="Arial"/>
          <w:sz w:val="24"/>
          <w:szCs w:val="24"/>
        </w:rPr>
        <w:t xml:space="preserve"> Allah akan meminta pertanggungjawaban terhadap manusia yang tidak </w:t>
      </w:r>
      <w:r w:rsidR="008F455D" w:rsidRPr="00B240CE">
        <w:rPr>
          <w:rFonts w:ascii="Book Antiqua" w:eastAsia="Times New Roman" w:hAnsi="Book Antiqua" w:cs="Arial"/>
          <w:sz w:val="24"/>
          <w:szCs w:val="24"/>
        </w:rPr>
        <w:lastRenderedPageBreak/>
        <w:t>menggunakan indera, akal dan hati nurani dengan baik.</w:t>
      </w:r>
      <w:r w:rsidR="008F455D" w:rsidRPr="00B240CE">
        <w:rPr>
          <w:rStyle w:val="FootnoteReference"/>
          <w:rFonts w:ascii="Book Antiqua" w:eastAsia="Times New Roman" w:hAnsi="Book Antiqua" w:cs="Arial"/>
          <w:sz w:val="24"/>
          <w:szCs w:val="24"/>
        </w:rPr>
        <w:footnoteReference w:id="58"/>
      </w:r>
      <w:r w:rsidR="008F455D" w:rsidRPr="00B240CE">
        <w:rPr>
          <w:rFonts w:ascii="Book Antiqua" w:eastAsia="Times New Roman" w:hAnsi="Book Antiqua" w:cs="Arial"/>
          <w:sz w:val="24"/>
          <w:szCs w:val="24"/>
        </w:rPr>
        <w:t xml:space="preserve"> Allah mengancam akan memberikan mereka kedudukan yang lebih rendah daripada kedudukan hewan ternak apa bila manusia tidak menggunakan indera, akal dan ahti nurani.</w:t>
      </w:r>
      <w:r w:rsidR="008F455D" w:rsidRPr="00B240CE">
        <w:rPr>
          <w:rStyle w:val="FootnoteReference"/>
          <w:rFonts w:ascii="Book Antiqua" w:eastAsia="Times New Roman" w:hAnsi="Book Antiqua" w:cs="Arial"/>
          <w:sz w:val="24"/>
          <w:szCs w:val="24"/>
        </w:rPr>
        <w:footnoteReference w:id="59"/>
      </w:r>
      <w:r w:rsidR="008F455D" w:rsidRPr="00B240CE">
        <w:rPr>
          <w:rFonts w:ascii="Book Antiqua" w:eastAsia="Times New Roman" w:hAnsi="Book Antiqua" w:cs="Arial"/>
          <w:sz w:val="24"/>
          <w:szCs w:val="24"/>
        </w:rPr>
        <w:t xml:space="preserve"> Perintah Allah kepada manusia untuk menggunakan indera, akal dan hati nurani agarmampu meraih hikmah kebijaksanaan kebenaran pengetahuan.</w:t>
      </w:r>
      <w:r w:rsidR="008F455D" w:rsidRPr="00B240CE">
        <w:rPr>
          <w:rStyle w:val="FootnoteReference"/>
          <w:rFonts w:ascii="Book Antiqua" w:eastAsia="Times New Roman" w:hAnsi="Book Antiqua" w:cs="Arial"/>
          <w:sz w:val="24"/>
          <w:szCs w:val="24"/>
        </w:rPr>
        <w:footnoteReference w:id="60"/>
      </w:r>
      <w:r w:rsidR="008F455D" w:rsidRPr="00B240CE">
        <w:rPr>
          <w:rFonts w:ascii="Book Antiqua" w:eastAsia="Times New Roman" w:hAnsi="Book Antiqua" w:cs="Arial"/>
          <w:sz w:val="24"/>
          <w:szCs w:val="24"/>
        </w:rPr>
        <w:t>Dengan demikian, jelas bahwa Islam seperti disebutkan dalam al-Quran mewajibkan manusia untuk menggunakan indera, akal dan hati nurani untuk saling melengkapi dalam rangka mencapai kebenaran sejati Tuhan.</w:t>
      </w:r>
      <w:r w:rsidR="008F455D" w:rsidRPr="00B240CE">
        <w:rPr>
          <w:rStyle w:val="FootnoteReference"/>
          <w:rFonts w:ascii="Book Antiqua" w:eastAsia="Times New Roman" w:hAnsi="Book Antiqua" w:cs="Arial"/>
          <w:sz w:val="24"/>
          <w:szCs w:val="24"/>
        </w:rPr>
        <w:footnoteReference w:id="61"/>
      </w:r>
    </w:p>
    <w:p w:rsidR="008F455D" w:rsidRPr="00E23D22" w:rsidRDefault="008F455D" w:rsidP="008F455D">
      <w:pPr>
        <w:spacing w:after="0" w:line="480" w:lineRule="auto"/>
        <w:ind w:firstLine="720"/>
        <w:jc w:val="both"/>
        <w:rPr>
          <w:rFonts w:ascii="Calibri" w:hAnsi="Calibri" w:cs="Arial"/>
          <w:sz w:val="24"/>
          <w:szCs w:val="24"/>
        </w:rPr>
      </w:pPr>
    </w:p>
    <w:p w:rsid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240CE" w:rsidRDefault="00B240CE"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Default="00B611A3" w:rsidP="008258F9">
      <w:pPr>
        <w:spacing w:after="0" w:line="240" w:lineRule="auto"/>
        <w:jc w:val="both"/>
        <w:rPr>
          <w:rFonts w:ascii="Book Antiqua" w:hAnsi="Book Antiqua" w:cs="Times New Roman"/>
        </w:rPr>
      </w:pPr>
    </w:p>
    <w:p w:rsidR="00B611A3" w:rsidRPr="008258F9" w:rsidRDefault="00B611A3"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4 Nalar Empiris</w:t>
      </w:r>
    </w:p>
    <w:p w:rsidR="00B240CE" w:rsidRDefault="00B240CE" w:rsidP="008258F9">
      <w:pPr>
        <w:spacing w:after="0" w:line="240" w:lineRule="auto"/>
        <w:jc w:val="center"/>
        <w:rPr>
          <w:rFonts w:ascii="Book Antiqua" w:hAnsi="Book Antiqua" w:cs="Times New Roman"/>
          <w:b/>
          <w:sz w:val="32"/>
          <w:szCs w:val="32"/>
        </w:rPr>
      </w:pPr>
    </w:p>
    <w:p w:rsidR="00BA3FB1" w:rsidRDefault="00B240CE" w:rsidP="008F455D">
      <w:pPr>
        <w:tabs>
          <w:tab w:val="right" w:leader="dot" w:pos="7938"/>
        </w:tabs>
        <w:spacing w:after="0" w:line="480" w:lineRule="auto"/>
        <w:jc w:val="both"/>
        <w:rPr>
          <w:rFonts w:ascii="Book Antiqua" w:hAnsi="Book Antiqua" w:cs="Arial"/>
          <w:sz w:val="24"/>
          <w:szCs w:val="24"/>
        </w:rPr>
      </w:pPr>
      <w:r>
        <w:rPr>
          <w:rFonts w:ascii="Calibri" w:hAnsi="Calibri" w:cs="Arial"/>
          <w:sz w:val="24"/>
          <w:szCs w:val="24"/>
        </w:rPr>
        <w:tab/>
      </w:r>
      <w:r w:rsidRPr="0063725A">
        <w:rPr>
          <w:rFonts w:ascii="Book Antiqua" w:hAnsi="Book Antiqua" w:cs="Arial"/>
          <w:sz w:val="24"/>
          <w:szCs w:val="24"/>
        </w:rPr>
        <w:t xml:space="preserve">          </w:t>
      </w:r>
      <w:r w:rsidR="008F455D" w:rsidRPr="0063725A">
        <w:rPr>
          <w:rFonts w:ascii="Book Antiqua" w:hAnsi="Book Antiqua" w:cs="Arial"/>
          <w:sz w:val="24"/>
          <w:szCs w:val="24"/>
        </w:rPr>
        <w:t xml:space="preserve">Aristoteles sebagai tokoh klasik pada jaman Yunani kuno menyatakan bahwa indera merupakan dasar dari semua pengetahuan dan tidak ada yang mendahuluinya.Menurut Aristoteles, ilmu pengetahuan diperoleh dari hasil kegiatan manusia yang berupa pengamatan terhadap realitas kenyataan yang banyak terjadi dan berubah-ubah. Pengamatan yang dilakukan secara bertahapdan terus-menerus sampai pada kebenaran yang bersifat umum (universal). Oleh karena itulah Aristotelesdapat disebut sebagai salah seorang eksponen tahap awal (klasik) yang mengagas pandangan tentang empirisme, meskipun pada tahap perkembangan selanjutnya Aristoteles juga disebut sebagai peletak dasar doktrin sillogismeyang sangat berpengaruh terhadap perkembangan pemikiran di Eropa sampai dengan munculnya era </w:t>
      </w:r>
      <w:r w:rsidR="008F455D" w:rsidRPr="0063725A">
        <w:rPr>
          <w:rFonts w:ascii="Book Antiqua" w:hAnsi="Book Antiqua" w:cs="Arial"/>
          <w:i/>
          <w:sz w:val="24"/>
          <w:szCs w:val="24"/>
        </w:rPr>
        <w:t>renaisance</w:t>
      </w:r>
      <w:r w:rsidR="008F455D" w:rsidRPr="0063725A">
        <w:rPr>
          <w:rFonts w:ascii="Book Antiqua" w:hAnsi="Book Antiqua" w:cs="Arial"/>
          <w:sz w:val="24"/>
          <w:szCs w:val="24"/>
        </w:rPr>
        <w:t>. Sillogisme sendiri merupakan argumentasi dan cara penalaran yang terdiri dari tiga buah pernyataansebagai premis mayor, premis minor dan konklusi.</w:t>
      </w:r>
      <w:r w:rsidR="008F455D" w:rsidRPr="0063725A">
        <w:rPr>
          <w:rStyle w:val="FootnoteReference"/>
          <w:rFonts w:ascii="Book Antiqua" w:hAnsi="Book Antiqua" w:cs="Arial"/>
          <w:sz w:val="24"/>
          <w:szCs w:val="24"/>
        </w:rPr>
        <w:footnoteReference w:id="62"/>
      </w:r>
    </w:p>
    <w:p w:rsidR="00BA3FB1"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8F455D" w:rsidRPr="0063725A">
        <w:rPr>
          <w:rFonts w:ascii="Book Antiqua" w:hAnsi="Book Antiqua" w:cs="Arial"/>
          <w:sz w:val="24"/>
          <w:szCs w:val="24"/>
        </w:rPr>
        <w:t xml:space="preserve">Pandangan yang epistemologinya dikembangkan dengan sarana penalaran indera sering disebut sebagai paham empirisme atau realisme. Epistemologi pengetahuan yang dikembangkan dengan sarana penalaran indera dipandang oleh kaum empirismedalam memperoleh pengetahuan yang benar dengan menggunakan pengalaman konkrit dan nyata yang tertangkap oleh indera manusia. Francis Bacon sebagai penganut paham empirisme modern berpandangan bahwa tidak mungkin manusia mengetahui berbagai bentuk pengetahuan tanpa perantara indera. Gejala-gejala fisik alamiah menurut kaum empirisme atau realisme bersifat konkrit dan </w:t>
      </w:r>
      <w:r w:rsidR="008F455D" w:rsidRPr="0063725A">
        <w:rPr>
          <w:rFonts w:ascii="Book Antiqua" w:hAnsi="Book Antiqua" w:cs="Arial"/>
          <w:sz w:val="24"/>
          <w:szCs w:val="24"/>
        </w:rPr>
        <w:lastRenderedPageBreak/>
        <w:t>nyata yang dapat dinyatakan melalui kemampuan penalaran indera. Gejala-gejala tersebut jika ditelaah dalam suatu kajian khusus lebih lanjut mempunyai beberapa karakteristik tertentu dan khas yang melekat kepadanya, seperti terdapat pola yang teratur mengenai suatu kejadian tertentu. Karakteristik lain dalam epistemologi yang dikembangkan dengan sarana penalaran indera yaitu adanya sifat kesamaan dan pengulangan untuk dapat melakukan generalisasi dari berbagai kasus sejenis yang telah terjadi.</w:t>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8F455D" w:rsidRPr="0063725A">
        <w:rPr>
          <w:rFonts w:ascii="Book Antiqua" w:hAnsi="Book Antiqua" w:cs="Arial"/>
          <w:sz w:val="24"/>
          <w:szCs w:val="24"/>
        </w:rPr>
        <w:t>Bacon pada tahap selanjutnya mengkaji dasar filosofis untuk mengembangkan ilmu pengetahuanyang menggunakan sarana penalaran indera dengan mengagas pandangan tentang “</w:t>
      </w:r>
      <w:r w:rsidR="008F455D" w:rsidRPr="0063725A">
        <w:rPr>
          <w:rFonts w:ascii="Book Antiqua" w:hAnsi="Book Antiqua" w:cs="Arial"/>
          <w:i/>
          <w:sz w:val="24"/>
          <w:szCs w:val="24"/>
        </w:rPr>
        <w:t>novum organon”</w:t>
      </w:r>
      <w:r w:rsidR="008F455D" w:rsidRPr="0063725A">
        <w:rPr>
          <w:rFonts w:ascii="Book Antiqua" w:hAnsi="Book Antiqua" w:cs="Arial"/>
          <w:sz w:val="24"/>
          <w:szCs w:val="24"/>
        </w:rPr>
        <w:t xml:space="preserve"> yang memiliki maksud untuk memperbaiki dan juga sekaligus menggantikan teori Aristoteles tentang ilmu pengetahuan dengan teori yang dianggap baru. Bacon dengan karyanya tersebut pada masa berikutnya sangat mempengaruhi dunia filsafat di Inggris.</w:t>
      </w:r>
      <w:r w:rsidR="008F455D" w:rsidRPr="0063725A">
        <w:rPr>
          <w:rStyle w:val="FootnoteReference"/>
          <w:rFonts w:ascii="Book Antiqua" w:hAnsi="Book Antiqua" w:cs="Arial"/>
          <w:sz w:val="24"/>
          <w:szCs w:val="24"/>
        </w:rPr>
        <w:footnoteReference w:id="63"/>
      </w:r>
      <w:r w:rsidR="008F455D" w:rsidRPr="0063725A">
        <w:rPr>
          <w:rFonts w:ascii="Book Antiqua" w:hAnsi="Book Antiqua" w:cs="Arial"/>
          <w:sz w:val="24"/>
          <w:szCs w:val="24"/>
        </w:rPr>
        <w:t xml:space="preserve">Gagasan Bacon tersebut merupakan </w:t>
      </w:r>
      <w:r w:rsidR="008F455D" w:rsidRPr="0063725A">
        <w:rPr>
          <w:rFonts w:ascii="Book Antiqua" w:hAnsi="Book Antiqua" w:cs="Arial"/>
          <w:i/>
          <w:sz w:val="24"/>
          <w:szCs w:val="24"/>
        </w:rPr>
        <w:t>new instrumen</w:t>
      </w:r>
      <w:r w:rsidR="008F455D" w:rsidRPr="0063725A">
        <w:rPr>
          <w:rFonts w:ascii="Book Antiqua" w:hAnsi="Book Antiqua" w:cs="Arial"/>
          <w:sz w:val="24"/>
          <w:szCs w:val="24"/>
        </w:rPr>
        <w:t>yang berisi tentang suatu pengukuhan penerimaan teori empirisme terkait penyelidikan terhadap kebenaran yang tidak perlu bertumpu sepenuhnya kepada cara silogisme dari Aristoteles, karena dipandang telah absurd.</w:t>
      </w:r>
      <w:r w:rsidR="008F455D" w:rsidRPr="0063725A">
        <w:rPr>
          <w:rStyle w:val="FootnoteReference"/>
          <w:rFonts w:ascii="Book Antiqua" w:hAnsi="Book Antiqua" w:cs="Arial"/>
          <w:sz w:val="24"/>
          <w:szCs w:val="24"/>
        </w:rPr>
        <w:footnoteReference w:id="64"/>
      </w:r>
      <w:r w:rsidR="008F455D" w:rsidRPr="0063725A">
        <w:rPr>
          <w:rFonts w:ascii="Book Antiqua" w:hAnsi="Book Antiqua" w:cs="Arial"/>
          <w:sz w:val="24"/>
          <w:szCs w:val="24"/>
        </w:rPr>
        <w:t xml:space="preserve"> Bacon selanjutnya memperkenalkan cara kerja induksi untuk memperoleh ilmu pengetahuan. Kemunculan Bacon dengan cara pandangnya terhadap ilmu pengetahuan memberi corak baru bagi perkembangan filsafat Ilmu, khususnya tentang metode ilmiah sebagaimana yang dikemukakan oleh A.B.Shah dalam </w:t>
      </w:r>
      <w:r w:rsidR="008F455D" w:rsidRPr="0063725A">
        <w:rPr>
          <w:rFonts w:ascii="Book Antiqua" w:hAnsi="Book Antiqua" w:cs="Arial"/>
          <w:i/>
          <w:sz w:val="24"/>
          <w:szCs w:val="24"/>
        </w:rPr>
        <w:t>scientific method</w:t>
      </w:r>
      <w:r w:rsidR="008F455D" w:rsidRPr="0063725A">
        <w:rPr>
          <w:rFonts w:ascii="Book Antiqua" w:hAnsi="Book Antiqua" w:cs="Arial"/>
          <w:sz w:val="24"/>
          <w:szCs w:val="24"/>
        </w:rPr>
        <w:t xml:space="preserve">, bahwapengertian yang paling baik tentang metode ilmiah dapat </w:t>
      </w:r>
      <w:r w:rsidR="008F455D" w:rsidRPr="0063725A">
        <w:rPr>
          <w:rFonts w:ascii="Book Antiqua" w:hAnsi="Book Antiqua" w:cs="Arial"/>
          <w:sz w:val="24"/>
          <w:szCs w:val="24"/>
        </w:rPr>
        <w:lastRenderedPageBreak/>
        <w:t>dilihat dari gagasan induksi Bacon.</w:t>
      </w:r>
      <w:r w:rsidR="008F455D" w:rsidRPr="0063725A">
        <w:rPr>
          <w:rStyle w:val="FootnoteReference"/>
          <w:rFonts w:ascii="Book Antiqua" w:hAnsi="Book Antiqua" w:cs="Arial"/>
          <w:sz w:val="24"/>
          <w:szCs w:val="24"/>
        </w:rPr>
        <w:footnoteReference w:id="65"/>
      </w:r>
      <w:r w:rsidR="008F455D" w:rsidRPr="0063725A">
        <w:rPr>
          <w:rFonts w:ascii="Book Antiqua" w:hAnsi="Book Antiqua" w:cs="Arial"/>
          <w:sz w:val="24"/>
          <w:szCs w:val="24"/>
        </w:rPr>
        <w:t xml:space="preserve"> Oleh karena itu, Bacon terkenal sebagai pembaharu dan peletak dasar-dasarmetode induksi modern serta menjadi pelopor usaha untuk mensistimatisir secara umum prosedur ilmiah. Gagasannya yang berisi asas filsafatnya bersifat praktis yaitu menjadikan untuk manusia menguasai alam melalui penemauan ilmiah.</w:t>
      </w:r>
      <w:r w:rsidR="008F455D" w:rsidRPr="0063725A">
        <w:rPr>
          <w:rStyle w:val="FootnoteReference"/>
          <w:rFonts w:ascii="Book Antiqua" w:hAnsi="Book Antiqua" w:cs="Arial"/>
          <w:sz w:val="24"/>
          <w:szCs w:val="24"/>
        </w:rPr>
        <w:footnoteReference w:id="66"/>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Dalam aliran empirisme juga terdapat nama John Locke yang mengemukakan bahwa ketika seorang bayi baru lahir, maka akalnya seperti papan tulis yang masih kosong atau diibaratkan seperti kamera yang merekam kesan-kesan dari luar. Menurutnya pengetahuan hanya berasal dari indra yang dibantu oleh pemikiran, ingatan, perasaan yang diatur menjadi bermacam-macam pengetahuan, meskipun Locke juga tidak menolak adanya ide bawaan manusia (</w:t>
      </w:r>
      <w:r w:rsidRPr="0063725A">
        <w:rPr>
          <w:rFonts w:ascii="Book Antiqua" w:hAnsi="Book Antiqua" w:cs="Arial"/>
          <w:i/>
          <w:sz w:val="24"/>
          <w:szCs w:val="24"/>
        </w:rPr>
        <w:t>innate ideas</w:t>
      </w:r>
      <w:r w:rsidRPr="0063725A">
        <w:rPr>
          <w:rFonts w:ascii="Book Antiqua" w:hAnsi="Book Antiqua" w:cs="Arial"/>
          <w:sz w:val="24"/>
          <w:szCs w:val="24"/>
        </w:rPr>
        <w:t xml:space="preserve">).Dalam perkembangan ilmu pengetahuan selanjutnya, maka pandangan Locke tersebut dikenal dengan istilah teori </w:t>
      </w:r>
      <w:r w:rsidRPr="0063725A">
        <w:rPr>
          <w:rFonts w:ascii="Book Antiqua" w:hAnsi="Book Antiqua" w:cs="Arial"/>
          <w:i/>
          <w:sz w:val="24"/>
          <w:szCs w:val="24"/>
        </w:rPr>
        <w:t>tabula rasa</w:t>
      </w:r>
      <w:r w:rsidRPr="0063725A">
        <w:rPr>
          <w:rFonts w:ascii="Book Antiqua" w:hAnsi="Book Antiqua" w:cs="Arial"/>
          <w:sz w:val="24"/>
          <w:szCs w:val="24"/>
        </w:rPr>
        <w:t>.Locke memperkuat gagasannya tersebut dengan membuat karya berjudul “</w:t>
      </w:r>
      <w:r w:rsidRPr="0063725A">
        <w:rPr>
          <w:rFonts w:ascii="Book Antiqua" w:hAnsi="Book Antiqua" w:cs="Arial"/>
          <w:i/>
          <w:sz w:val="24"/>
          <w:szCs w:val="24"/>
        </w:rPr>
        <w:t>essay concerning human understanding”</w:t>
      </w:r>
      <w:r w:rsidRPr="0063725A">
        <w:rPr>
          <w:rFonts w:ascii="Book Antiqua" w:hAnsi="Book Antiqua" w:cs="Arial"/>
          <w:sz w:val="24"/>
          <w:szCs w:val="24"/>
        </w:rPr>
        <w:t xml:space="preserve"> yang menyatakan, bahwa semua pengetahuan manusia bersumber dari pengalaman yang telah ada.Akal oleh Locke diibaratkan seperti kertas putih yang akan digambari oleh pengalaman inderawi yang melahirkan ide-ide, sehingga pengetahuan terdiri atas </w:t>
      </w:r>
      <w:r w:rsidRPr="0063725A">
        <w:rPr>
          <w:rFonts w:ascii="Book Antiqua" w:hAnsi="Book Antiqua" w:cs="Arial"/>
          <w:i/>
          <w:sz w:val="24"/>
          <w:szCs w:val="24"/>
        </w:rPr>
        <w:t>connection and agreement-disagreement of our ideas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67"/>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8F455D" w:rsidRPr="0063725A">
        <w:rPr>
          <w:rFonts w:ascii="Book Antiqua" w:hAnsi="Book Antiqua" w:cs="Arial"/>
          <w:sz w:val="24"/>
          <w:szCs w:val="24"/>
        </w:rPr>
        <w:t xml:space="preserve">Pandangan Locke tersebut senada dengan Thomas Hobbes, menurut Hobbes pengalaman yang tertangkap secara inderawi merupakan permulaan dari segala pengenalanterhadap apa yang dipandang benar dari suatu ilmu pengetahuan. </w:t>
      </w:r>
      <w:r w:rsidR="008F455D" w:rsidRPr="0063725A">
        <w:rPr>
          <w:rFonts w:ascii="Book Antiqua" w:hAnsi="Book Antiqua" w:cs="Arial"/>
          <w:sz w:val="24"/>
          <w:szCs w:val="24"/>
        </w:rPr>
        <w:lastRenderedPageBreak/>
        <w:t>Hobbes lebih jauh mengatakan, bahwa hanya sesuatu yang dapat ditangkap oleh indera manusia saja yang merupakan pengetahuan yang benar. Pengetahuan yang bersumber dari sarana penalaranlogika akal tidak lain hanyalah merupakan penggabungan data-data yang sebenarnya diperoleh dari hasil pengamatan inderawi oleh manusia. Dalam pandangan Hobbes dan para filsuf empirisme lainnya, dunia fisik adalah sesuatau yang bersifat nyata adanya, karena hal itu merupakan gejala dari objek yang tampak riil tertangkap oleh indera manusia sebagai instrumen yang lebih dekat dengan keberadaan objek dan itulah yang disebut pengatahuan yang benar.</w:t>
      </w:r>
      <w:r w:rsidR="008F455D" w:rsidRPr="0063725A">
        <w:rPr>
          <w:rStyle w:val="FootnoteReference"/>
          <w:rFonts w:ascii="Book Antiqua" w:hAnsi="Book Antiqua" w:cs="Arial"/>
          <w:sz w:val="24"/>
          <w:szCs w:val="24"/>
        </w:rPr>
        <w:footnoteReference w:id="68"/>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David Hume memiliki pandangan yang lebih keras dengan mengingkari substansi material sebagai akibat keterputusannya yang kuat pada hasil indera dan pengetahuan yang berubah secara alami sebagai realitas nyata. Menurut Hume pengalaman lebih memberi keyakinan kuat dibanding kesimpulan logika akal dan kausalitas yang tidak dapat digunakan untuk menetapkan peristiwa selanjutnya berdasarkan peristiwa yang telah terjadi, sehingga pengalaman yang dipandang mampu memberikan informasi yang langsung dan pasti terhadap objek yang diamati sesuai dengan </w:t>
      </w:r>
      <w:r w:rsidRPr="0063725A">
        <w:rPr>
          <w:rFonts w:ascii="Book Antiqua" w:hAnsi="Book Antiqua" w:cs="Arial"/>
          <w:i/>
          <w:sz w:val="24"/>
          <w:szCs w:val="24"/>
        </w:rPr>
        <w:t>tempus</w:t>
      </w:r>
      <w:r w:rsidRPr="0063725A">
        <w:rPr>
          <w:rFonts w:ascii="Book Antiqua" w:hAnsi="Book Antiqua" w:cs="Arial"/>
          <w:sz w:val="24"/>
          <w:szCs w:val="24"/>
        </w:rPr>
        <w:t xml:space="preserve"> dan </w:t>
      </w:r>
      <w:r w:rsidRPr="0063725A">
        <w:rPr>
          <w:rFonts w:ascii="Book Antiqua" w:hAnsi="Book Antiqua" w:cs="Arial"/>
          <w:i/>
          <w:sz w:val="24"/>
          <w:szCs w:val="24"/>
        </w:rPr>
        <w:t>locus</w:t>
      </w:r>
      <w:r w:rsidRPr="0063725A">
        <w:rPr>
          <w:rFonts w:ascii="Book Antiqua" w:hAnsi="Book Antiqua" w:cs="Arial"/>
          <w:sz w:val="24"/>
          <w:szCs w:val="24"/>
        </w:rPr>
        <w:t>. Hume dapat dikatakanmerupakan seorang penganut paham empirism yang sangat radikal, bukan saja hanya karena Hume menekankan pengalaman inderawi sebagai dasar dari semua pengetahuan, tetapi juga ia menolak adanya hukum kausalitas sebab-akibat yang diterangkan oleh akal manusia. Hume untuk itu membedakan hal-hal yang bersifat inderawi</w:t>
      </w:r>
      <w:r w:rsidR="00B611A3">
        <w:rPr>
          <w:rFonts w:ascii="Book Antiqua" w:hAnsi="Book Antiqua" w:cs="Arial"/>
          <w:sz w:val="24"/>
          <w:szCs w:val="24"/>
        </w:rPr>
        <w:t xml:space="preserve"> </w:t>
      </w:r>
      <w:r w:rsidRPr="0063725A">
        <w:rPr>
          <w:rFonts w:ascii="Book Antiqua" w:hAnsi="Book Antiqua" w:cs="Arial"/>
          <w:i/>
          <w:sz w:val="24"/>
          <w:szCs w:val="24"/>
        </w:rPr>
        <w:t>(is/sein)</w:t>
      </w:r>
      <w:r w:rsidR="00B611A3">
        <w:rPr>
          <w:rFonts w:ascii="Book Antiqua" w:hAnsi="Book Antiqua" w:cs="Arial"/>
          <w:i/>
          <w:sz w:val="24"/>
          <w:szCs w:val="24"/>
        </w:rPr>
        <w:t xml:space="preserve"> </w:t>
      </w:r>
      <w:r w:rsidRPr="0063725A">
        <w:rPr>
          <w:rFonts w:ascii="Book Antiqua" w:hAnsi="Book Antiqua" w:cs="Arial"/>
          <w:sz w:val="24"/>
          <w:szCs w:val="24"/>
        </w:rPr>
        <w:t xml:space="preserve">dengan hal-hal yang seharusnya </w:t>
      </w:r>
      <w:r w:rsidRPr="0063725A">
        <w:rPr>
          <w:rFonts w:ascii="Book Antiqua" w:hAnsi="Book Antiqua" w:cs="Arial"/>
          <w:i/>
          <w:sz w:val="24"/>
          <w:szCs w:val="24"/>
        </w:rPr>
        <w:t>(ought/sollen)</w:t>
      </w:r>
      <w:r w:rsidRPr="0063725A">
        <w:rPr>
          <w:rFonts w:ascii="Book Antiqua" w:hAnsi="Book Antiqua" w:cs="Arial"/>
          <w:sz w:val="24"/>
          <w:szCs w:val="24"/>
        </w:rPr>
        <w:t xml:space="preserve">. Hume bahkan berpandangan bahwa moralitas berada di wilayah normatif, bukan wilayah empiris, karena dengan itu </w:t>
      </w:r>
      <w:r w:rsidRPr="0063725A">
        <w:rPr>
          <w:rFonts w:ascii="Book Antiqua" w:hAnsi="Book Antiqua" w:cs="Arial"/>
          <w:sz w:val="24"/>
          <w:szCs w:val="24"/>
        </w:rPr>
        <w:lastRenderedPageBreak/>
        <w:t>hanya akan menghasilkan banyak pendapat yang bersifat subyektif, spekulatif dan tidak pasti.</w:t>
      </w:r>
      <w:r w:rsidRPr="0063725A">
        <w:rPr>
          <w:rStyle w:val="FootnoteReference"/>
          <w:rFonts w:ascii="Book Antiqua" w:hAnsi="Book Antiqua" w:cs="Arial"/>
          <w:sz w:val="24"/>
          <w:szCs w:val="24"/>
        </w:rPr>
        <w:footnoteReference w:id="69"/>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Dalam lingkaran Wina terdapat nama Ernst Mach sebagai salah satu inspirator digunakannya cara pandang empirisme. ErnstMachmemiliki pandangan yang lebih khusus dan keras dengan membatasi diri pada objek-objek yang dialami secara inderawi yang disebut sebagai fakta yang benar, karena benar-benar riil dapat ditangkap oleh indera manusia dan bukan sebagai ide atau hasil pemikiran yang belum tentu benar apa adanya.Cara pandang ErnstMachnampaknya memiliki akarpersamaan dari gagasan empirisme seperti yang dikemukakan oleh David Hume yang menyatakanbahwa dasar dari ilmu pengetahuan adalah apa yang kita dengar, lihat danrasakan, bukan apa yang dipikirkan. ErnstMachdengan kata lain sebenarnya ingin menegaskan bahwa ilmu pengetahuan harus berorientasi pada data sebagai hasil obyek danperistiwa penelitian empiris dan data tersebut pada dasarnya sama sekali tidak ada hubungannya dengan presuposisi dari teoritis apa pun.</w:t>
      </w:r>
      <w:r w:rsidRPr="0063725A">
        <w:rPr>
          <w:rStyle w:val="FootnoteReference"/>
          <w:rFonts w:ascii="Book Antiqua" w:hAnsi="Book Antiqua" w:cs="Arial"/>
          <w:sz w:val="24"/>
          <w:szCs w:val="24"/>
        </w:rPr>
        <w:footnoteReference w:id="70"/>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eastAsia="Times New Roman" w:hAnsi="Book Antiqua" w:cs="Arial"/>
          <w:sz w:val="24"/>
          <w:szCs w:val="24"/>
        </w:rPr>
        <w:t xml:space="preserve">Indera sebagai sarana penalaran dalam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filsuf Islam. Manusia dengan indera dapat mengetahui kebenaran yang bersifat fisik (lahiriah). Dalam al-Qur’an terdapat beberapa ayat yang menjelaskan tentang indera sebagai sarana penalaran utama dalam </w:t>
      </w:r>
      <w:r w:rsidRPr="0063725A">
        <w:rPr>
          <w:rFonts w:ascii="Book Antiqua" w:eastAsia="Times New Roman" w:hAnsi="Book Antiqua" w:cs="Arial"/>
          <w:sz w:val="24"/>
          <w:szCs w:val="24"/>
        </w:rPr>
        <w:lastRenderedPageBreak/>
        <w:t xml:space="preserve">mengembangkan epistemologi, seperti terdapat dalam Q.S al-Ghasyiyah ayat 17; </w:t>
      </w:r>
      <w:r w:rsidRPr="0063725A">
        <w:rPr>
          <w:rFonts w:ascii="Book Antiqua" w:eastAsia="Times New Roman" w:hAnsi="Book Antiqua" w:cs="Arial"/>
          <w:i/>
          <w:sz w:val="24"/>
          <w:szCs w:val="24"/>
        </w:rPr>
        <w:t>“Maka apakah mereka tidak memperhatikan unta bagaimana ia diciptakan?”</w:t>
      </w:r>
      <w:r w:rsidRPr="0063725A">
        <w:rPr>
          <w:rFonts w:ascii="Book Antiqua" w:eastAsia="Times New Roman" w:hAnsi="Book Antiqua" w:cs="Arial"/>
          <w:sz w:val="24"/>
          <w:szCs w:val="24"/>
        </w:rPr>
        <w:t xml:space="preserve"> dan Q.S Al ‘Alaq ayat 1; </w:t>
      </w:r>
      <w:r w:rsidRPr="0063725A">
        <w:rPr>
          <w:rFonts w:ascii="Book Antiqua" w:eastAsia="Times New Roman" w:hAnsi="Book Antiqua" w:cs="Arial"/>
          <w:i/>
          <w:sz w:val="24"/>
          <w:szCs w:val="24"/>
        </w:rPr>
        <w:t>“Bacalah dengan (menyebut) nama Tuhanmu yang Menciptakan”.</w:t>
      </w:r>
      <w:r w:rsidRPr="0063725A">
        <w:rPr>
          <w:rFonts w:ascii="Book Antiqua" w:eastAsia="Times New Roman" w:hAnsi="Book Antiqua" w:cs="Arial"/>
          <w:sz w:val="24"/>
          <w:szCs w:val="24"/>
        </w:rPr>
        <w:t xml:space="preserve"> Dalam ayat tersebut terdapat istilah kalimat yang dapat menunjukkan dan menjelaskan bagaimana epistemologi indera bagi manusia.</w:t>
      </w:r>
    </w:p>
    <w:p w:rsidR="008F455D" w:rsidRPr="0063725A" w:rsidRDefault="008F455D" w:rsidP="008F455D">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eastAsia="Times New Roman" w:hAnsi="Book Antiqua" w:cs="Arial"/>
          <w:color w:val="000000" w:themeColor="text1"/>
          <w:sz w:val="24"/>
          <w:szCs w:val="24"/>
        </w:rPr>
        <w:t xml:space="preserve">Perintah Tuhan kepada manusia untuk mengkaji ilmu pengetahuan salah satunya mendorong manusia untuk melakukan observasi melalui inderawinya dalam rangka mencapai kebenaran sejati dari Tuhan dan sekaligus membangun keimanan terhadap-Nya melalui ilmu pengetahuan. Hal inilah sebagai unsur penting dalam aktivitas keilmuan yang melahirkan dan memanfaatkan ilmu, seperti terdapat dalam Q.S Adz Dzariyat ayat 21;  </w:t>
      </w:r>
      <w:r w:rsidRPr="0063725A">
        <w:rPr>
          <w:rFonts w:ascii="Book Antiqua" w:eastAsia="Times New Roman" w:hAnsi="Book Antiqua" w:cs="Arial"/>
          <w:i/>
          <w:color w:val="000000" w:themeColor="text1"/>
          <w:sz w:val="24"/>
          <w:szCs w:val="24"/>
        </w:rPr>
        <w:t>“Dan (juga) pada dirimu sendiri. Maka apakah kamu tidak memperhatikan?”</w:t>
      </w:r>
      <w:r w:rsidRPr="0063725A">
        <w:rPr>
          <w:rFonts w:ascii="Book Antiqua" w:eastAsia="Times New Roman" w:hAnsi="Book Antiqua" w:cs="Arial"/>
          <w:color w:val="000000" w:themeColor="text1"/>
          <w:sz w:val="24"/>
          <w:szCs w:val="24"/>
        </w:rPr>
        <w:t xml:space="preserve">, Q.S An Naba ayat 6-7; </w:t>
      </w:r>
      <w:r w:rsidRPr="0063725A">
        <w:rPr>
          <w:rFonts w:ascii="Book Antiqua" w:eastAsia="Times New Roman" w:hAnsi="Book Antiqua" w:cs="Arial"/>
          <w:i/>
          <w:color w:val="000000" w:themeColor="text1"/>
          <w:sz w:val="24"/>
          <w:szCs w:val="24"/>
        </w:rPr>
        <w:t>“Bukankah kami telah menjadikan bumi itu sebagai hamparan? Dan gunung-gunung sebagai pasak?”</w:t>
      </w:r>
      <w:r w:rsidRPr="0063725A">
        <w:rPr>
          <w:rFonts w:ascii="Book Antiqua" w:eastAsia="Times New Roman" w:hAnsi="Book Antiqua" w:cs="Arial"/>
          <w:color w:val="000000" w:themeColor="text1"/>
          <w:sz w:val="24"/>
          <w:szCs w:val="24"/>
        </w:rPr>
        <w:t xml:space="preserve">, dan Q.S Qaaf ayat 7; </w:t>
      </w:r>
      <w:r w:rsidRPr="0063725A">
        <w:rPr>
          <w:rFonts w:ascii="Book Antiqua" w:eastAsia="Times New Roman" w:hAnsi="Book Antiqua" w:cs="Arial"/>
          <w:i/>
          <w:color w:val="000000" w:themeColor="text1"/>
          <w:sz w:val="24"/>
          <w:szCs w:val="24"/>
        </w:rPr>
        <w:t>“Dan kami hamparkan bumi itu dan kami letakkan padanya gunung-gunung yang kokoh dan kami tumbuhkan padanya segala macam tanaman yang indah dipandang mata”.</w:t>
      </w:r>
      <w:r w:rsidRPr="0063725A">
        <w:rPr>
          <w:rStyle w:val="FootnoteReference"/>
          <w:rFonts w:ascii="Book Antiqua" w:eastAsia="Times New Roman" w:hAnsi="Book Antiqua" w:cs="Arial"/>
          <w:i/>
          <w:color w:val="000000" w:themeColor="text1"/>
          <w:sz w:val="24"/>
          <w:szCs w:val="24"/>
        </w:rPr>
        <w:footnoteReference w:id="71"/>
      </w:r>
      <w:r w:rsidRPr="0063725A">
        <w:rPr>
          <w:rFonts w:ascii="Book Antiqua" w:eastAsia="Times New Roman" w:hAnsi="Book Antiqua" w:cs="Arial"/>
          <w:color w:val="000000" w:themeColor="text1"/>
          <w:sz w:val="24"/>
          <w:szCs w:val="24"/>
        </w:rPr>
        <w:t xml:space="preserve"> Ayat-ayat dalam a</w:t>
      </w:r>
      <w:r w:rsidRPr="0063725A">
        <w:rPr>
          <w:rFonts w:ascii="Book Antiqua" w:eastAsia="Times New Roman" w:hAnsi="Book Antiqua" w:cs="Arial"/>
          <w:sz w:val="24"/>
          <w:szCs w:val="24"/>
        </w:rPr>
        <w:t>l-Quran tersebut senantiasa mewajibkan manusia mengadakan observasi melalui indera untuk mengungkap kebenaran pengetahuan yang diketahui maupun yang tidak diketahui,</w:t>
      </w:r>
      <w:r w:rsidRPr="0063725A">
        <w:rPr>
          <w:rStyle w:val="FootnoteReference"/>
          <w:rFonts w:ascii="Book Antiqua" w:eastAsia="Times New Roman" w:hAnsi="Book Antiqua" w:cs="Arial"/>
          <w:sz w:val="24"/>
          <w:szCs w:val="24"/>
        </w:rPr>
        <w:footnoteReference w:id="72"/>
      </w:r>
      <w:r w:rsidRPr="0063725A">
        <w:rPr>
          <w:rFonts w:ascii="Book Antiqua" w:eastAsia="Times New Roman" w:hAnsi="Book Antiqua" w:cs="Arial"/>
          <w:sz w:val="24"/>
          <w:szCs w:val="24"/>
        </w:rPr>
        <w:t xml:space="preserve"> seperti dalam Q.S al `Araf ayat 185; </w:t>
      </w:r>
    </w:p>
    <w:p w:rsidR="008F455D" w:rsidRPr="0063725A" w:rsidRDefault="008F455D" w:rsidP="008F455D">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apakah mereka tidak memperhatikan kerajaan langit dan bumi dan segala sesuatu yang diciptakan Allah, dan kemungkinan telah dekatnya kebinasaan mereka? Maka kepada berita manakah lagi mereka akan beriman sesudah al-Qur’an itu?”</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ab/>
      </w:r>
      <w:r w:rsidRPr="0063725A">
        <w:rPr>
          <w:rFonts w:ascii="Book Antiqua" w:hAnsi="Book Antiqua" w:cs="Arial"/>
          <w:iCs/>
          <w:color w:val="000000"/>
          <w:sz w:val="24"/>
          <w:szCs w:val="24"/>
        </w:rPr>
        <w:t>Observasi sebagai bagian dari metode yang dilakukan oleh indera dapat berguna bagi manusia untuk melihat suatu objek kebendaan yang bersifat lahiriah,</w:t>
      </w:r>
      <w:r w:rsidRPr="0063725A">
        <w:rPr>
          <w:rStyle w:val="FootnoteReference"/>
          <w:rFonts w:ascii="Book Antiqua" w:hAnsi="Book Antiqua" w:cs="Arial"/>
          <w:iCs/>
          <w:color w:val="000000"/>
          <w:sz w:val="24"/>
          <w:szCs w:val="24"/>
        </w:rPr>
        <w:footnoteReference w:id="73"/>
      </w:r>
      <w:r w:rsidRPr="0063725A">
        <w:rPr>
          <w:rFonts w:ascii="Book Antiqua" w:hAnsi="Book Antiqua" w:cs="Arial"/>
          <w:iCs/>
          <w:color w:val="000000"/>
          <w:sz w:val="24"/>
          <w:szCs w:val="24"/>
        </w:rPr>
        <w:t xml:space="preserve"> seperti dicontohkan dalam Q.S </w:t>
      </w:r>
      <w:r w:rsidRPr="0063725A">
        <w:rPr>
          <w:rFonts w:ascii="Book Antiqua" w:hAnsi="Book Antiqua" w:cs="Arial"/>
          <w:color w:val="000000"/>
          <w:sz w:val="24"/>
          <w:szCs w:val="24"/>
        </w:rPr>
        <w:t xml:space="preserve">Yunus ayat 6; </w:t>
      </w:r>
      <w:r w:rsidRPr="0063725A">
        <w:rPr>
          <w:rFonts w:ascii="Book Antiqua" w:hAnsi="Book Antiqua" w:cs="Arial"/>
          <w:i/>
          <w:iCs/>
          <w:color w:val="000000"/>
          <w:sz w:val="24"/>
          <w:szCs w:val="24"/>
        </w:rPr>
        <w:t>“Sesungguhnya pada pertukaran malam dan siang itu dan pada apa yang diciptakan Allah di langit dan di bumi, benar-benar terdapat tanda-tanda (kekuasaan-Nya) bagi orang- orang yang bertakwa,”</w:t>
      </w:r>
      <w:r w:rsidRPr="0063725A">
        <w:rPr>
          <w:rFonts w:ascii="Book Antiqua" w:hAnsi="Book Antiqua" w:cs="Arial"/>
          <w:iCs/>
          <w:color w:val="000000"/>
          <w:sz w:val="24"/>
          <w:szCs w:val="24"/>
        </w:rPr>
        <w:t>dan Q.S Yasin ayat 37-40;</w:t>
      </w:r>
    </w:p>
    <w:p w:rsidR="008F455D" w:rsidRPr="0063725A" w:rsidRDefault="008F455D" w:rsidP="008F455D">
      <w:pPr>
        <w:tabs>
          <w:tab w:val="right" w:leader="dot" w:pos="7938"/>
        </w:tabs>
        <w:spacing w:after="0" w:line="240" w:lineRule="auto"/>
        <w:jc w:val="both"/>
        <w:rPr>
          <w:rFonts w:ascii="Book Antiqua" w:hAnsi="Book Antiqua" w:cs="Arial"/>
          <w:i/>
          <w:iCs/>
          <w:color w:val="000000"/>
          <w:sz w:val="24"/>
          <w:szCs w:val="24"/>
        </w:rPr>
      </w:pPr>
      <w:r w:rsidRPr="0063725A">
        <w:rPr>
          <w:rFonts w:ascii="Book Antiqua" w:hAnsi="Book Antiqua" w:cs="Arial"/>
          <w:i/>
          <w:iCs/>
          <w:color w:val="000000"/>
          <w:sz w:val="24"/>
          <w:szCs w:val="24"/>
        </w:rPr>
        <w:t>“Dan suatu tanda (kekuasaan Allah yang besar) bagi mereka adalah malam; kami tanggalkan siang dari malam itu, Maka dengan serta merta mereka berada dalam kegelapan.Dan matahari berjalan ditempat peredarannya.Demikianlah ketetapan yang Maha Perkasa lagi Maha Mengetahui.Dan telah kami tetapkan bagi bulan manzilah-manzilah, sehingga (setelah dia sampai ke manzilah yang terakhir) kembalilah dia sebagai bentuk tandan yang tua. Tidaklah mungkin bagi Matahari mendapatkan bulan dan malampun tidak dapat mendahului siang dan masing-masing beredar pada garis edarnya.”</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Pr="0063725A">
        <w:rPr>
          <w:rFonts w:ascii="Book Antiqua" w:eastAsia="Times New Roman" w:hAnsi="Book Antiqua" w:cs="Arial"/>
          <w:sz w:val="24"/>
          <w:szCs w:val="24"/>
        </w:rPr>
        <w:t>Tokoh filsuf Islam yang mengemukakan tentang epistemologi pengetahuan yang dikembangkan dengan sarana penalaran indera diantaranya adalah Ikhwan al-Shafa. Menurutnya seluruh pengetahuan diusahakan dengan melalui dasar indera. Akal dalam proses logika untuk menggali dan memperoleh pengetahuan pada dasarnya juga mendasarkan pada objek-objek lahir yang ditangkap indera.</w:t>
      </w:r>
      <w:r w:rsidRPr="0063725A">
        <w:rPr>
          <w:rStyle w:val="FootnoteReference"/>
          <w:rFonts w:ascii="Book Antiqua" w:eastAsia="Times New Roman" w:hAnsi="Book Antiqua" w:cs="Arial"/>
          <w:sz w:val="24"/>
          <w:szCs w:val="24"/>
        </w:rPr>
        <w:footnoteReference w:id="74"/>
      </w:r>
      <w:r w:rsidRPr="0063725A">
        <w:rPr>
          <w:rFonts w:ascii="Book Antiqua" w:eastAsia="Times New Roman" w:hAnsi="Book Antiqua" w:cs="Arial"/>
          <w:sz w:val="24"/>
          <w:szCs w:val="24"/>
        </w:rPr>
        <w:t xml:space="preserve"> Abu Sa’id al-Syirafi yang ahli bahasa penganut </w:t>
      </w:r>
      <w:r w:rsidRPr="0063725A">
        <w:rPr>
          <w:rFonts w:ascii="Book Antiqua" w:eastAsia="Times New Roman" w:hAnsi="Book Antiqua" w:cs="Arial"/>
          <w:i/>
          <w:sz w:val="24"/>
          <w:szCs w:val="24"/>
        </w:rPr>
        <w:t>bayani</w:t>
      </w:r>
      <w:r w:rsidRPr="0063725A">
        <w:rPr>
          <w:rFonts w:ascii="Book Antiqua" w:eastAsia="Times New Roman" w:hAnsi="Book Antiqua" w:cs="Arial"/>
          <w:sz w:val="24"/>
          <w:szCs w:val="24"/>
        </w:rPr>
        <w:t xml:space="preserve"> berpandangan bahwa kata atau bahasa muncul lebih dulu daripada makna,</w:t>
      </w:r>
      <w:r w:rsidRPr="0063725A">
        <w:rPr>
          <w:rStyle w:val="FootnoteReference"/>
          <w:rFonts w:ascii="Book Antiqua" w:eastAsia="Times New Roman" w:hAnsi="Book Antiqua" w:cs="Arial"/>
          <w:sz w:val="24"/>
          <w:szCs w:val="24"/>
        </w:rPr>
        <w:footnoteReference w:id="75"/>
      </w:r>
      <w:r w:rsidRPr="0063725A">
        <w:rPr>
          <w:rFonts w:ascii="Book Antiqua" w:eastAsia="Times New Roman" w:hAnsi="Book Antiqua" w:cs="Arial"/>
          <w:sz w:val="24"/>
          <w:szCs w:val="24"/>
        </w:rPr>
        <w:t xml:space="preserve"> artinya pengetahuan kata atau bahasa yang berasal dari proses mendengar dan melihat berasal dari epistemologi yang dikembangkan dengan sarana penalaran indera. Terdapat beberapa filsuf ilmuan dalam Islam yang telah menggunakan metode observasi, seperti al-Kindi menggunakan metode observasi di laboratorium kimia dan fisikanya, Nashir al-Din al-Thusi mengadakan pengamatan astronomi di observatorium miliknya yang amat terkenal di Maraghah, Ibn Haitsam menggunakan metode observasi dalam </w:t>
      </w:r>
      <w:r w:rsidRPr="0063725A">
        <w:rPr>
          <w:rFonts w:ascii="Book Antiqua" w:eastAsia="Times New Roman" w:hAnsi="Book Antiqua" w:cs="Arial"/>
          <w:sz w:val="24"/>
          <w:szCs w:val="24"/>
        </w:rPr>
        <w:lastRenderedPageBreak/>
        <w:t>eksperimennya di bidang optik mengenai cahaya dan teori pengelihatan atau vision yang hasilnya ia abadikan dalam karya besarnya, al-Manazir melakukan eksperimennya sendiri terhadap cahaya dan pengaruhnya terhadap mata dengan kesimpulan manusia dapat melihat sebuah objek karena ia memantulkan cahaya pada kornea mata.</w:t>
      </w:r>
      <w:r w:rsidRPr="0063725A">
        <w:rPr>
          <w:rStyle w:val="FootnoteReference"/>
          <w:rFonts w:ascii="Book Antiqua" w:eastAsia="Times New Roman" w:hAnsi="Book Antiqua" w:cs="Arial"/>
          <w:sz w:val="24"/>
          <w:szCs w:val="24"/>
        </w:rPr>
        <w:footnoteReference w:id="76"/>
      </w:r>
      <w:r w:rsidRPr="0063725A">
        <w:rPr>
          <w:rFonts w:ascii="Book Antiqua" w:eastAsia="Times New Roman" w:hAnsi="Book Antiqua" w:cs="Arial"/>
          <w:sz w:val="24"/>
          <w:szCs w:val="24"/>
        </w:rPr>
        <w:t xml:space="preserve"> O</w:t>
      </w:r>
      <w:r w:rsidRPr="0063725A">
        <w:rPr>
          <w:rFonts w:ascii="Book Antiqua" w:hAnsi="Book Antiqua" w:cs="Arial"/>
          <w:sz w:val="24"/>
          <w:szCs w:val="24"/>
        </w:rPr>
        <w:t>bservasi selanjutnya dilanjutkan dengan meniru mekanisme kerja dari objek,</w:t>
      </w:r>
      <w:r w:rsidRPr="0063725A">
        <w:rPr>
          <w:rStyle w:val="FootnoteReference"/>
          <w:rFonts w:ascii="Book Antiqua" w:hAnsi="Book Antiqua" w:cs="Arial"/>
          <w:sz w:val="24"/>
          <w:szCs w:val="24"/>
        </w:rPr>
        <w:footnoteReference w:id="77"/>
      </w:r>
      <w:r w:rsidRPr="0063725A">
        <w:rPr>
          <w:rFonts w:ascii="Book Antiqua" w:hAnsi="Book Antiqua" w:cs="Arial"/>
          <w:sz w:val="24"/>
          <w:szCs w:val="24"/>
        </w:rPr>
        <w:t xml:space="preserve"> sehingga dalam hal ini seperti menggunakan analogi, yaitu memberikan nilai kesamaan atas suatu hal berdasarkan hal lain yang telah ada nilai kebenarannya dalam realitas karena ada kesamaan keadaan yang menjadi sebab terjadinya hal tersebut.</w:t>
      </w:r>
      <w:r w:rsidRPr="0063725A">
        <w:rPr>
          <w:rStyle w:val="FootnoteReference"/>
          <w:rFonts w:ascii="Book Antiqua" w:hAnsi="Book Antiqua" w:cs="Arial"/>
          <w:sz w:val="24"/>
          <w:szCs w:val="24"/>
        </w:rPr>
        <w:footnoteReference w:id="78"/>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 xml:space="preserve">Epistemologi yang dikembangkan dengan sarana penalaran indera yang dipelopori oleh kaum empirisme dalam memperoleh ilmu pengetahuan yang benar melalui metode penalaran induktif. Menurut Melvin Marx, metode penalaran induktif menekankan pada pendekatan empiris untuk mendapatkan kebenaran yang bersifat generalisasi. Penarikan kesimpulan didasarkan pada observasi realitas yang dilakukan secara berulang-ulang dan mengembangkan pernyataan-pernyataan yang berfungsi untuk menerangkan serta menjelaskan keberadaan pernyataan-pernyataan tersebut. Metode Penalaran induktif sebagai cara bernalar denganmenarik satu kesimpulan dari berbagai kasus nyata yang bersifat individu menjadi satu kesimpulan yang bersifat umum. Metode penalarana induktif diawali dengan mengemukakan pernyataan-pernyataan yang mempunyai ruang lingkup khas atau yang bersifat khusus dan terbatas dalam menyusun argumentasi, yang </w:t>
      </w:r>
      <w:r w:rsidRPr="0063725A">
        <w:rPr>
          <w:rFonts w:ascii="Book Antiqua" w:hAnsi="Book Antiqua" w:cs="Arial"/>
          <w:sz w:val="24"/>
          <w:szCs w:val="24"/>
        </w:rPr>
        <w:lastRenderedPageBreak/>
        <w:t>selanjutnya diakhiri dengan membuat satu kesimpulan berupa pernyataan yang bersifat umum.</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Seperti contoh;</w:t>
      </w:r>
    </w:p>
    <w:p w:rsidR="008F455D" w:rsidRPr="0063725A" w:rsidRDefault="008F455D" w:rsidP="008F455D">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Terdapat fakta bahwa:</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Socrates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juga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Aristoteles juga telah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Maka kesimpulannya semua manusia juga akan mati.</w:t>
      </w:r>
    </w:p>
    <w:p w:rsidR="008F455D" w:rsidRPr="0063725A" w:rsidRDefault="008F455D" w:rsidP="008F455D">
      <w:pPr>
        <w:tabs>
          <w:tab w:val="right" w:leader="dot" w:pos="7938"/>
        </w:tabs>
        <w:spacing w:after="0" w:line="240" w:lineRule="auto"/>
        <w:jc w:val="both"/>
        <w:rPr>
          <w:rFonts w:ascii="Book Antiqua" w:hAnsi="Book Antiqua" w:cs="Arial"/>
          <w:sz w:val="24"/>
          <w:szCs w:val="24"/>
        </w:rPr>
      </w:pP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Kesimpulan yang diambil tersebut merupakan bentuk dari pengetahuan yang benar menurut metode penalaran induktif, karena telah sesuai dengan pernyataan-pernyataan yang memiliki kesamaan dan pengulangan.Menurut J. Stuart Mill metode penalaran induktif sangat penting,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63725A">
        <w:rPr>
          <w:rFonts w:ascii="Book Antiqua" w:hAnsi="Book Antiqua" w:cs="Arial"/>
          <w:i/>
          <w:sz w:val="24"/>
          <w:szCs w:val="24"/>
        </w:rPr>
        <w:t>all science consists of data and conclusions from those data</w:t>
      </w:r>
      <w:r w:rsidRPr="0063725A">
        <w:rPr>
          <w:rFonts w:ascii="Book Antiqua" w:hAnsi="Book Antiqua" w:cs="Arial"/>
          <w:sz w:val="24"/>
          <w:szCs w:val="24"/>
        </w:rPr>
        <w:t>(semua pengetahuan terdiri atas data dan keputusan data tersebut).</w:t>
      </w:r>
      <w:r w:rsidRPr="0063725A">
        <w:rPr>
          <w:rStyle w:val="FootnoteReference"/>
          <w:rFonts w:ascii="Book Antiqua" w:hAnsi="Book Antiqua" w:cs="Arial"/>
          <w:sz w:val="24"/>
          <w:szCs w:val="24"/>
        </w:rPr>
        <w:footnoteReference w:id="79"/>
      </w:r>
    </w:p>
    <w:p w:rsidR="008F455D" w:rsidRPr="0063725A" w:rsidRDefault="00BA3FB1" w:rsidP="008F455D">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8F455D" w:rsidRPr="0063725A">
        <w:rPr>
          <w:rFonts w:ascii="Book Antiqua" w:hAnsi="Book Antiqua" w:cs="Arial"/>
          <w:sz w:val="24"/>
          <w:szCs w:val="24"/>
        </w:rPr>
        <w:t>Stuart</w:t>
      </w:r>
      <w:r>
        <w:rPr>
          <w:rFonts w:ascii="Book Antiqua" w:hAnsi="Book Antiqua" w:cs="Arial"/>
          <w:sz w:val="24"/>
          <w:szCs w:val="24"/>
        </w:rPr>
        <w:t xml:space="preserve"> </w:t>
      </w:r>
      <w:r w:rsidR="008F455D" w:rsidRPr="0063725A">
        <w:rPr>
          <w:rFonts w:ascii="Book Antiqua" w:hAnsi="Book Antiqua" w:cs="Arial"/>
          <w:sz w:val="24"/>
          <w:szCs w:val="24"/>
        </w:rPr>
        <w:t xml:space="preserve">Mill dalam </w:t>
      </w:r>
      <w:r w:rsidR="008F455D" w:rsidRPr="0063725A">
        <w:rPr>
          <w:rFonts w:ascii="Book Antiqua" w:hAnsi="Book Antiqua" w:cs="Arial"/>
          <w:i/>
          <w:sz w:val="24"/>
          <w:szCs w:val="24"/>
        </w:rPr>
        <w:t>a system of logic</w:t>
      </w:r>
      <w:r w:rsidR="008F455D" w:rsidRPr="0063725A">
        <w:rPr>
          <w:rFonts w:ascii="Book Antiqua" w:hAnsi="Book Antiqua" w:cs="Arial"/>
          <w:sz w:val="24"/>
          <w:szCs w:val="24"/>
        </w:rPr>
        <w:t xml:space="preserve">berusaha menyelidiki dasar-dasar teoritis filosofi dari proses cara kerja induksi. Menurutnya tugas utama logika dalam bidang mengatur cara kerja induktif tidak lebih dari hanya sekedar menentukan patokan deduksi yang bersifat logis dan tidak pernah menyampaikan pengetahuan baru. StuartMill dalam menguraikan logika induktif cenderung untuk menghindari daya eksterm yang terkait dengan sistem generalisasi empiris dan mencari dukungan </w:t>
      </w:r>
      <w:r w:rsidR="008F455D" w:rsidRPr="0063725A">
        <w:rPr>
          <w:rFonts w:ascii="Book Antiqua" w:hAnsi="Book Antiqua" w:cs="Arial"/>
          <w:sz w:val="24"/>
          <w:szCs w:val="24"/>
        </w:rPr>
        <w:lastRenderedPageBreak/>
        <w:t>dalam salah satu teori mengenai induksi atau pengertian apriori.</w:t>
      </w:r>
      <w:r w:rsidR="008F455D" w:rsidRPr="0063725A">
        <w:rPr>
          <w:rStyle w:val="FootnoteReference"/>
          <w:rFonts w:ascii="Book Antiqua" w:hAnsi="Book Antiqua" w:cs="Arial"/>
          <w:sz w:val="24"/>
          <w:szCs w:val="24"/>
        </w:rPr>
        <w:footnoteReference w:id="80"/>
      </w:r>
      <w:r w:rsidR="008F455D" w:rsidRPr="0063725A">
        <w:rPr>
          <w:rFonts w:ascii="Book Antiqua" w:hAnsi="Book Antiqua" w:cs="Arial"/>
          <w:sz w:val="24"/>
          <w:szCs w:val="24"/>
        </w:rPr>
        <w:t>Stuart Mill berpandangan, bahwa penalaran induksi sangat penting, karena berjalan dari pikiranyang diketahui menuju kepada sesuatu yang belum atau tidak diketahui.</w:t>
      </w:r>
      <w:r w:rsidR="008F455D" w:rsidRPr="0063725A">
        <w:rPr>
          <w:rStyle w:val="FootnoteReference"/>
          <w:rFonts w:ascii="Book Antiqua" w:hAnsi="Book Antiqua" w:cs="Arial"/>
          <w:sz w:val="24"/>
          <w:szCs w:val="24"/>
        </w:rPr>
        <w:footnoteReference w:id="81"/>
      </w:r>
      <w:r w:rsidR="008F455D" w:rsidRPr="0063725A">
        <w:rPr>
          <w:rFonts w:ascii="Book Antiqua" w:hAnsi="Book Antiqua" w:cs="Arial"/>
          <w:sz w:val="24"/>
          <w:szCs w:val="24"/>
        </w:rPr>
        <w:t xml:space="preserve">Pengetahuan yang paling umum dan lama-kelamaan muncul untuk diperiksaadalah </w:t>
      </w:r>
      <w:r w:rsidR="008F455D" w:rsidRPr="0063725A">
        <w:rPr>
          <w:rFonts w:ascii="Book Antiqua" w:hAnsi="Book Antiqua" w:cs="Arial"/>
          <w:i/>
          <w:sz w:val="24"/>
          <w:szCs w:val="24"/>
        </w:rPr>
        <w:t>the course of nature in uniform</w:t>
      </w:r>
      <w:r w:rsidR="008F455D" w:rsidRPr="0063725A">
        <w:rPr>
          <w:rFonts w:ascii="Book Antiqua" w:hAnsi="Book Antiqua" w:cs="Arial"/>
          <w:sz w:val="24"/>
          <w:szCs w:val="24"/>
        </w:rPr>
        <w:t xml:space="preserve"> yang merupakan asas dasar atau aksioma umum dari induksi. Prinsip utama itumenjadi paling tampak dalam hukum alam yang disebut </w:t>
      </w:r>
      <w:r w:rsidR="008F455D" w:rsidRPr="0063725A">
        <w:rPr>
          <w:rFonts w:ascii="Book Antiqua" w:hAnsi="Book Antiqua" w:cs="Arial"/>
          <w:i/>
          <w:sz w:val="24"/>
          <w:szCs w:val="24"/>
        </w:rPr>
        <w:t>law of causality</w:t>
      </w:r>
      <w:r w:rsidR="008F455D" w:rsidRPr="0063725A">
        <w:rPr>
          <w:rFonts w:ascii="Book Antiqua" w:hAnsi="Book Antiqua" w:cs="Arial"/>
          <w:sz w:val="24"/>
          <w:szCs w:val="24"/>
        </w:rPr>
        <w:t xml:space="preserve">, maksudnya pada setiap gejala alam yang kita amati pada dasarnya mempunyai suatu </w:t>
      </w:r>
      <w:r w:rsidR="008F455D" w:rsidRPr="0063725A">
        <w:rPr>
          <w:rFonts w:ascii="Book Antiqua" w:hAnsi="Book Antiqua" w:cs="Arial"/>
          <w:i/>
          <w:sz w:val="24"/>
          <w:szCs w:val="24"/>
        </w:rPr>
        <w:t>cause</w:t>
      </w:r>
      <w:r w:rsidR="008F455D" w:rsidRPr="0063725A">
        <w:rPr>
          <w:rFonts w:ascii="Book Antiqua" w:hAnsi="Book Antiqua" w:cs="Arial"/>
          <w:sz w:val="24"/>
          <w:szCs w:val="24"/>
        </w:rPr>
        <w:t xml:space="preserve"> yang dicari dalam ilmu pengetahuan, yaitu keseluruhan syarat-syarat yang perlu (</w:t>
      </w:r>
      <w:r w:rsidR="008F455D" w:rsidRPr="0063725A">
        <w:rPr>
          <w:rFonts w:ascii="Book Antiqua" w:hAnsi="Book Antiqua" w:cs="Arial"/>
          <w:i/>
          <w:sz w:val="24"/>
          <w:szCs w:val="24"/>
        </w:rPr>
        <w:t>necessary</w:t>
      </w:r>
      <w:r w:rsidR="008F455D" w:rsidRPr="0063725A">
        <w:rPr>
          <w:rFonts w:ascii="Book Antiqua" w:hAnsi="Book Antiqua" w:cs="Arial"/>
          <w:sz w:val="24"/>
          <w:szCs w:val="24"/>
        </w:rPr>
        <w:t>) dan memadai (</w:t>
      </w:r>
      <w:r w:rsidR="008F455D" w:rsidRPr="0063725A">
        <w:rPr>
          <w:rFonts w:ascii="Book Antiqua" w:hAnsi="Book Antiqua" w:cs="Arial"/>
          <w:i/>
          <w:sz w:val="24"/>
          <w:szCs w:val="24"/>
        </w:rPr>
        <w:t>suffient</w:t>
      </w:r>
      <w:r w:rsidR="008F455D" w:rsidRPr="0063725A">
        <w:rPr>
          <w:rFonts w:ascii="Book Antiqua" w:hAnsi="Book Antiqua" w:cs="Arial"/>
          <w:sz w:val="24"/>
          <w:szCs w:val="24"/>
        </w:rPr>
        <w:t>) agar gejala terjadi.</w:t>
      </w:r>
      <w:r w:rsidR="008F455D" w:rsidRPr="0063725A">
        <w:rPr>
          <w:rStyle w:val="FootnoteReference"/>
          <w:rFonts w:ascii="Book Antiqua" w:hAnsi="Book Antiqua" w:cs="Arial"/>
          <w:sz w:val="24"/>
          <w:szCs w:val="24"/>
        </w:rPr>
        <w:footnoteReference w:id="82"/>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Dalam metode penalaran induktif teknik statistika mempunyai peranan pentinguntuk mencarikonsep-konsep yang berlaku umum. Statistika ialah pengetahuan sebagai sarana yang dapat digunakan untuk menguji tingkat ketelitian dan untuk menentukan hubungan kausalitas antar faktor terkait. Statistika adalah ilmu yang mempelajari tentang cara mendapatkan data,menganalisis dan menyajikan data serta mendapatkan suatu kesimpulan yang sah secara ilmiah. Penggunaan statistik dalamilmu pengetahuan mulai berkembang pesat sejak tahun 1900-an yang ditandaidengan ditemukannya dasar teori ilmu statistik secara matematis oleh R. A. Fisher. Cara kerja statistika sangat berperan dalam menunjang perkembangan ilmu pengetahuan terutama dalampenelitian yang dilakukan untuk memperoleh kesimpulan yang bersifat umum di lapangan. Sasaran utama dari </w:t>
      </w:r>
      <w:r w:rsidRPr="0063725A">
        <w:rPr>
          <w:rFonts w:ascii="Book Antiqua" w:hAnsi="Book Antiqua" w:cs="Arial"/>
          <w:sz w:val="24"/>
          <w:szCs w:val="24"/>
        </w:rPr>
        <w:lastRenderedPageBreak/>
        <w:t>mempelajari statistik adalah menggugahuntuk memikirkan secara jelas prosedur pengumpulan data dan membuatinterpretasi data menggunakan statistika yang banyakdigunakan dalam penelitian.</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BA3FB1">
        <w:rPr>
          <w:rFonts w:ascii="Book Antiqua" w:hAnsi="Book Antiqua" w:cs="Arial"/>
          <w:sz w:val="24"/>
          <w:szCs w:val="24"/>
        </w:rPr>
        <w:t xml:space="preserve">          </w:t>
      </w:r>
      <w:r w:rsidRPr="0063725A">
        <w:rPr>
          <w:rFonts w:ascii="Book Antiqua" w:hAnsi="Book Antiqua" w:cs="Arial"/>
          <w:sz w:val="24"/>
          <w:szCs w:val="24"/>
        </w:rPr>
        <w:t>Korespondensi digunakan untuk mengukur validitas dan keabsahan kebenaran yang dihasilkan dari metode penalaran induktif, yaitu suatu pernyataan dianggap benar jika pernyataan tersebut dapat berkorespondensi (berhubungan) dengan objek yang bersifat faktual dan nyata yang dituju dari pernyataan tersebut, seperti contoh diatas. Dikemukakan oleh Bertrand Russell, bahwa korespondensi menjadi cara yang penting untuk menentukan validitas dan keabsahan kebenaran pengetahuan dari suatu ilmu pengetahuan dalam epistemologi yang dikembangkan dengan sarana penalaran indera.</w:t>
      </w:r>
      <w:r w:rsidRPr="0063725A">
        <w:rPr>
          <w:rStyle w:val="FootnoteReference"/>
          <w:rFonts w:ascii="Book Antiqua" w:hAnsi="Book Antiqua" w:cs="Arial"/>
          <w:sz w:val="24"/>
          <w:szCs w:val="24"/>
        </w:rPr>
        <w:footnoteReference w:id="83"/>
      </w:r>
      <w:r w:rsidRPr="0063725A">
        <w:rPr>
          <w:rFonts w:ascii="Book Antiqua" w:hAnsi="Book Antiqua" w:cs="Arial"/>
          <w:sz w:val="24"/>
          <w:szCs w:val="24"/>
        </w:rPr>
        <w:t xml:space="preserve"> Menurut paham empirismekebenaran merupakan kesetiaan kepada realitas objektif, kebenaran adalah persesuaiannya dengan fakta. Kebenaran merupakan pertimbangan yang sesuai denganrealitas, bahwa pengetahuan mengenai realitas dan kenyataan sejajar secara harmonis. Oleh karena itu, disebut benar jika suatu pertimbangan sesuai dengan fakta atau dapat dikatakan bahwa kebenaran adalah persesuaian antarapernyataan dan kenyataan.</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bersifat umum dari metode penalaran induktif memiliki peran penting dalam pengetahuan ilmiah. Kehidupan yang beraneka ragam dengan berbagai corak dan segi yang berbeda dapat direduksi menjadi beberapa pernyataan. Pengetahuan yang dikumpulkan manusia bukanlah merupakan koleksi dari berbagai fakta, melainkan esensi dari fakta-fakta tersebut. Dalam pernyataan mengenai fakta-fakta yang dipaparkan, pengetahuan tidak bermaksud membuat reproduksi dari objek tertentu, tetapi menekankan pada struktur dasar yang </w:t>
      </w:r>
      <w:r w:rsidRPr="0063725A">
        <w:rPr>
          <w:rFonts w:ascii="Book Antiqua" w:hAnsi="Book Antiqua" w:cs="Arial"/>
          <w:sz w:val="24"/>
          <w:szCs w:val="24"/>
        </w:rPr>
        <w:lastRenderedPageBreak/>
        <w:t>menyangga wujud fakta tersebut. Pernyataan yang bagaimanapun lengkap dan cermat tidak akan mampu menjelaskan betapa manisnya gula jika belum merasakannya. Pengetahuan cukup puas dengan pernyataan elementer yang bersifat kategoris bahwa gula itu manis. Pernyataan seperti ini cukup berguna bagi manusia untuk bersifat fungsional dalam kehidupan praktis dan teoritis.</w:t>
      </w:r>
    </w:p>
    <w:p w:rsidR="008F455D" w:rsidRPr="0063725A" w:rsidRDefault="008F455D" w:rsidP="008F455D">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Epistemologi yang dikembangkan dengan sarana penalaran indera melalui metode penalaran induktif dan uji validitas korespondensi pada dasarnya mengandung permasalahan, seperti melihat dua fakta yang nyata tentang seorang pria berambut gondrong dan kejahatan. Bagaimana mengetahui pasti mengenai kaitan antara kedua fakta tersebut? Apakah pria rambut gondrong dan kejahatanmempunyai kaitan satu sama lain dalam hubungan kausalitas sebab akibat? Apabila mengatakan ya atau tidak, bagaimana jika metode penalaran induktif dapat membuktikan sebaliknya? Pernyataan tersebut mengingatkan, bahwa fakta yang terjadi tidaklah nyata sebagaimana yang diduga. Permasalahan berikutnya mengenai hakekat pengalaman yang merupakan cara untuk menemukan pengetahuan dan indera sebagai instrumen untuk menangkapnya. Terdapat pertanyaan, seperti apakah yang sebenarnya dinamakan pengalaman, apakah itu merupakan stimulus inderawi atau persepsi atau sensasi? Jika manusia mendasarkan indera sebagai instrumen untuk menangkap gejala fisik yang bersifat nyata, maka seberapa jauh manusia dapat mengandalkan kemampuan inderawi. Epistemologi yang dikembangkan dengan sarana penalaran indera dalam memperoleh pengetahuan tidak dapat memberi jawaban yang pasti dan meyakinkan terkaithakekat pengalaman tersebut, karena memiliki keterbatasan dan </w:t>
      </w:r>
      <w:r w:rsidRPr="0063725A">
        <w:rPr>
          <w:rFonts w:ascii="Book Antiqua" w:hAnsi="Book Antiqua" w:cs="Arial"/>
          <w:sz w:val="24"/>
          <w:szCs w:val="24"/>
        </w:rPr>
        <w:lastRenderedPageBreak/>
        <w:t>dapat melakukan kesalahan. Dalam kehidupan sehari-hari sering melihat kejanggalan dalam tangkapan indera, seperti tongkat lurus yang sebagian terendam air akan kelihatan bengkok. Fakta riil tersebut apakah dapat disebut sebagai pengetahuan yang benar.</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5 Nalar Empirism Hukum</w:t>
      </w:r>
    </w:p>
    <w:p w:rsidR="0063725A" w:rsidRDefault="0063725A" w:rsidP="008258F9">
      <w:pPr>
        <w:spacing w:after="0" w:line="240" w:lineRule="auto"/>
        <w:jc w:val="center"/>
        <w:rPr>
          <w:rFonts w:ascii="Book Antiqua" w:hAnsi="Book Antiqua" w:cs="Times New Roman"/>
          <w:b/>
          <w:sz w:val="32"/>
          <w:szCs w:val="32"/>
        </w:rPr>
      </w:pP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Manusia melalui </w:t>
      </w:r>
      <w:r w:rsidRPr="0063725A">
        <w:rPr>
          <w:rFonts w:ascii="Book Antiqua" w:eastAsia="Times New Roman" w:hAnsi="Book Antiqua" w:cs="Arial"/>
          <w:sz w:val="24"/>
          <w:szCs w:val="24"/>
        </w:rPr>
        <w:tab/>
        <w:t>indera</w:t>
      </w:r>
      <w:r w:rsidR="00B611A3">
        <w:rPr>
          <w:rFonts w:ascii="Book Antiqua" w:eastAsia="Times New Roman" w:hAnsi="Book Antiqua" w:cs="Arial"/>
          <w:sz w:val="24"/>
          <w:szCs w:val="24"/>
        </w:rPr>
        <w:t xml:space="preserve"> </w:t>
      </w:r>
      <w:r w:rsidRPr="0063725A">
        <w:rPr>
          <w:rFonts w:ascii="Book Antiqua" w:eastAsia="Times New Roman" w:hAnsi="Book Antiqua" w:cs="Arial"/>
          <w:sz w:val="24"/>
          <w:szCs w:val="24"/>
        </w:rPr>
        <w:t>dapat mengetahui kebenaran ilmu pengetahuan dari hal-hal yang bersifat nyata dan konkrit, termasuk ilmu hukum. Indera sebagai sarana penalaran utama dalam mengembangkan epistemologi ilmu hukum sama seperti halnya dalam ilmu pengetahuan yang lain, memiliki prinsip bahwa ilmu pengetahuan adalah pengenalan dasar dan sekaligus pemahaman terhadap kebenaran nyata yang berkaitan dengan sifat yang melingkupinya. Ilmu pengetahuan yang digali dan diperoleh dari sarana penalaran indera dalam ilmu pengetahuan sosial dapat berupa kehidupan manusia dengan segala gerak perilakunya. Hal ini seperti ilmu pengetahuan menurut aliran empirisme pada dasarnya berawal dari sumber utama indera yang selanjutnya dapat dikembangkan sesuai dengan instrumen penalaran manusia yang lain. Akal dalam proses logika pada dasarnya juga mendasarkan pada realitas yang tertangkap oleh indera. Oleh karena itu, menurut aliran empirisme indera merupakan instrumen yang paling awal dan dasar untuk memahami kebenaran yang ada. Dalam ilmu hukum, indera juga memiliki peran yang sangat penting untuk melihat hukum yang ada di dalam masyarakat. Hal ini seperti dikemukakan oleh Michael Heise tentang arti pentingnya mempelajari hukum dari kehidupan yang ada di masyarakat.</w:t>
      </w:r>
      <w:r w:rsidRPr="0063725A">
        <w:rPr>
          <w:rStyle w:val="FootnoteReference"/>
          <w:rFonts w:ascii="Book Antiqua" w:eastAsia="Times New Roman" w:hAnsi="Book Antiqua" w:cs="Arial"/>
          <w:sz w:val="24"/>
          <w:szCs w:val="24"/>
        </w:rPr>
        <w:footnoteReference w:id="84"/>
      </w:r>
    </w:p>
    <w:p w:rsidR="00CD411E" w:rsidRPr="00264784"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264784">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Indera sebagai sarana penalaran dalam mengembangkan epistemologi ilmu hukum berhubungan langsung dengan objek hukum yang berupa tata nilai dalam pergaulan hidup di masyarakat. Ilmu pengetahuan hukum yang dipengaruhi kuat oleh proses bekerjanya indera seperti mahzab sejarah hukum. Hukum menurut </w:t>
      </w:r>
      <w:r w:rsidRPr="0063725A">
        <w:rPr>
          <w:rFonts w:ascii="Book Antiqua" w:eastAsia="Times New Roman" w:hAnsi="Book Antiqua" w:cs="Arial"/>
          <w:sz w:val="24"/>
          <w:szCs w:val="24"/>
        </w:rPr>
        <w:lastRenderedPageBreak/>
        <w:t>pandangan mahzab sejarah merupakan sesuatu yang bersifat empiris nyata dalam pergaulan sosial masyarakat, sehingga hukumdianggap benar jika sesuai dengan kenyataan yang telah dipraktekkan dalam kehidupan masyarakat. Kebenaran suatu ilmu hukum merupakan bentuk persesuaian antara ilmu hukum yang dimaksud dengan fakta-fakta yang telah menjadi jejak kehidupan di masyarakat seperti budaya, kebiasaa, adat istiadat dan kultur yang senantiasa dipakai dalam pergaulan hidup. Oleh karena itu, jejak kehidupan masyarakat tersebut menjadi fokus observasi yang dapat menentukan kebenaran ilmu hukum, meskipun sifatnya tidak sama dan sering berubah-ubah.</w:t>
      </w:r>
      <w:r w:rsidRPr="0063725A">
        <w:rPr>
          <w:rFonts w:ascii="Book Antiqua" w:hAnsi="Book Antiqua" w:cs="Arial"/>
          <w:sz w:val="24"/>
          <w:szCs w:val="24"/>
        </w:rPr>
        <w:t xml:space="preserve"> Dunia hukum yang menaungi kehidupan manusia adalah suatu bentuk riil dari adanya pergaulan sosial masyarakat, karena merupakan gejala yang langsung dapat tertangkap oleh indera manusia dan karena itulah menurut kajian epistemologi ilmu hukum yang dikembangkan dengan sarana penalaran indera disebut sebagai hukum yang benar. Epistemologi ilmu hukum yang dikembangkan dengan sarana penalaran indera dalam ranah praktek memiliki peran penting. Hal ini seperti dikemukakan oleh Christina L. Boyd, bahwa mengkaji hukum yang ada di dalam masyarakat dapat memberikan dampak ilmiah yang penting terhadap penanganan berbagai isu hukum dan memberi informasi kepada pembuat kebijakan publik.</w:t>
      </w:r>
      <w:r w:rsidRPr="0063725A">
        <w:rPr>
          <w:rStyle w:val="FootnoteReference"/>
          <w:rFonts w:ascii="Book Antiqua" w:hAnsi="Book Antiqua" w:cs="Arial"/>
          <w:sz w:val="24"/>
          <w:szCs w:val="24"/>
        </w:rPr>
        <w:footnoteReference w:id="85"/>
      </w:r>
    </w:p>
    <w:p w:rsidR="00CD411E" w:rsidRPr="0063725A" w:rsidRDefault="00CD411E" w:rsidP="00CD411E">
      <w:pPr>
        <w:tabs>
          <w:tab w:val="right" w:leader="dot" w:pos="7938"/>
        </w:tabs>
        <w:spacing w:after="0" w:line="480" w:lineRule="auto"/>
        <w:jc w:val="both"/>
        <w:rPr>
          <w:rFonts w:ascii="Book Antiqua" w:hAnsi="Book Antiqua" w:cs="Arial"/>
          <w:b/>
          <w:sz w:val="24"/>
          <w:szCs w:val="24"/>
        </w:rPr>
      </w:pPr>
      <w:r w:rsidRPr="0063725A">
        <w:rPr>
          <w:rFonts w:ascii="Book Antiqua" w:hAnsi="Book Antiqua" w:cs="Arial"/>
          <w:b/>
          <w:sz w:val="24"/>
          <w:szCs w:val="24"/>
        </w:rPr>
        <w:t>a. Objek epistemologi ilmu hukum yang dikembangkan sarana penalaran indera</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hAnsi="Book Antiqua" w:cs="Arial"/>
          <w:sz w:val="24"/>
          <w:szCs w:val="24"/>
        </w:rPr>
        <w:tab/>
      </w:r>
      <w:r w:rsidRPr="0063725A">
        <w:rPr>
          <w:rFonts w:ascii="Book Antiqua" w:eastAsia="Times New Roman" w:hAnsi="Book Antiqua" w:cs="Arial"/>
          <w:sz w:val="24"/>
          <w:szCs w:val="24"/>
        </w:rPr>
        <w:t xml:space="preserve">Objek epistemologi ilmu hukum yang dikembangkan dengan sarana penalaran indera pada dasar sama dengan ilmu pengetahuan yang lain, yaitu segala bentuk fisik dan lahiriah yang dapat tertangkap oleh indera. Hal ini seperti yang telah di kemukakan oleh </w:t>
      </w:r>
      <w:r w:rsidRPr="0063725A">
        <w:rPr>
          <w:rFonts w:ascii="Book Antiqua" w:eastAsia="Calibri" w:hAnsi="Book Antiqua" w:cs="Arial"/>
          <w:sz w:val="24"/>
          <w:szCs w:val="24"/>
        </w:rPr>
        <w:t xml:space="preserve">Aristoteles sebagai tokoh klasik Yunani kuno, bahwa indera </w:t>
      </w:r>
      <w:r w:rsidRPr="0063725A">
        <w:rPr>
          <w:rFonts w:ascii="Book Antiqua" w:eastAsia="Calibri" w:hAnsi="Book Antiqua" w:cs="Arial"/>
          <w:sz w:val="24"/>
          <w:szCs w:val="24"/>
        </w:rPr>
        <w:lastRenderedPageBreak/>
        <w:t>merupakan dasar dari semua pengetahuan dan tidak ada yang mendahuluinya.</w:t>
      </w:r>
      <w:r w:rsidRPr="0063725A">
        <w:rPr>
          <w:rFonts w:ascii="Book Antiqua" w:eastAsia="Calibri" w:hAnsi="Book Antiqua" w:cs="Arial"/>
          <w:sz w:val="24"/>
          <w:szCs w:val="24"/>
          <w:vertAlign w:val="superscript"/>
        </w:rPr>
        <w:footnoteReference w:id="86"/>
      </w:r>
      <w:r w:rsidRPr="0063725A">
        <w:rPr>
          <w:rFonts w:ascii="Book Antiqua" w:eastAsia="Calibri" w:hAnsi="Book Antiqua" w:cs="Arial"/>
          <w:sz w:val="24"/>
          <w:szCs w:val="24"/>
        </w:rPr>
        <w:t xml:space="preserve">Senada dengan itu, </w:t>
      </w:r>
      <w:r w:rsidRPr="0063725A">
        <w:rPr>
          <w:rFonts w:ascii="Book Antiqua" w:eastAsia="Times New Roman" w:hAnsi="Book Antiqua" w:cs="Arial"/>
          <w:sz w:val="24"/>
          <w:szCs w:val="24"/>
        </w:rPr>
        <w:t>Ikhwan al-Shafa yang dikutip oleh Jalaluddin dan Usman Said, menyatakan bahwa sesungguhnya seluruh pengetahuan diusahakan dengan melalui dasar indera. Akal dalam proses logika untuk menggali dan memperoleh pengetahuan pada dasarnya juga mendasarkan pada objek-objek lahiriah yang ditangkap indera.</w:t>
      </w:r>
      <w:r w:rsidRPr="0063725A">
        <w:rPr>
          <w:rStyle w:val="FootnoteReference"/>
          <w:rFonts w:ascii="Book Antiqua" w:eastAsia="Times New Roman" w:hAnsi="Book Antiqua" w:cs="Arial"/>
          <w:sz w:val="24"/>
          <w:szCs w:val="24"/>
        </w:rPr>
        <w:footnoteReference w:id="87"/>
      </w:r>
      <w:r w:rsidRPr="0063725A">
        <w:rPr>
          <w:rFonts w:ascii="Book Antiqua" w:eastAsia="Calibri" w:hAnsi="Book Antiqua" w:cs="Arial"/>
          <w:sz w:val="24"/>
          <w:szCs w:val="24"/>
        </w:rPr>
        <w:t xml:space="preserve"> Menurut pandangan empirisme, ilmu pengetahuan diperoleh dari hasil kegiatan manusia yang berupa pengamatan terhadap realitas kenyataan yang banyak terjadi dan berubah-ubah. Hukum yang termasuk dalam ilmu pengetahuan sosial memiliki objek utama berupa perilaku manusia yang selalu berubah-ubah mengikuti perkembangan zaman. Oleh karena itu, seperti dikatakan kaum empirisme, pengamatan dilakukan secara bertahap dan terus-menerus sampai pada kebenaran yang bersifat umum (universal). Pandangan ini pada tahap selanjutnya melahirkan aliran empirisme atau realisme. Dalam ilmu hukum juga mempengaruhi pandangan dari mahzab sejarah hukum yang memiliki objek hukum berupajejak kehidupan masyarakat seperti; budaya, kebiasaan, adat istiadat dan kultur yang senantiasa dipakai dalam pergaulan hidup.</w:t>
      </w:r>
    </w:p>
    <w:p w:rsidR="00CD411E" w:rsidRPr="0063725A" w:rsidRDefault="00264784" w:rsidP="00CD411E">
      <w:pPr>
        <w:spacing w:after="0" w:line="480" w:lineRule="auto"/>
        <w:jc w:val="both"/>
        <w:rPr>
          <w:rFonts w:ascii="Book Antiqua" w:eastAsia="Calibri" w:hAnsi="Book Antiqua" w:cs="Arial"/>
          <w:sz w:val="24"/>
          <w:szCs w:val="24"/>
          <w:lang w:eastAsia="en-GB"/>
        </w:rPr>
      </w:pPr>
      <w:r>
        <w:rPr>
          <w:rFonts w:ascii="Book Antiqua" w:eastAsia="Calibri" w:hAnsi="Book Antiqua" w:cs="Arial"/>
          <w:sz w:val="24"/>
          <w:szCs w:val="24"/>
        </w:rPr>
        <w:t xml:space="preserve">          </w:t>
      </w:r>
      <w:r w:rsidR="00CD411E" w:rsidRPr="0063725A">
        <w:rPr>
          <w:rFonts w:ascii="Book Antiqua" w:eastAsia="Calibri" w:hAnsi="Book Antiqua" w:cs="Arial"/>
          <w:sz w:val="24"/>
          <w:szCs w:val="24"/>
        </w:rPr>
        <w:t>Objek epistemologi ilmu hukum yang diperoleh dari sarana penalaran indera seperti pandangan dari Francis Bacon tentang “</w:t>
      </w:r>
      <w:r w:rsidR="00CD411E" w:rsidRPr="0063725A">
        <w:rPr>
          <w:rFonts w:ascii="Book Antiqua" w:eastAsia="Calibri" w:hAnsi="Book Antiqua" w:cs="Arial"/>
          <w:i/>
          <w:sz w:val="24"/>
          <w:szCs w:val="24"/>
        </w:rPr>
        <w:t>novum organon”</w:t>
      </w:r>
      <w:r w:rsidR="00CD411E" w:rsidRPr="0063725A">
        <w:rPr>
          <w:rFonts w:ascii="Book Antiqua" w:eastAsia="Calibri" w:hAnsi="Book Antiqua" w:cs="Arial"/>
          <w:sz w:val="24"/>
          <w:szCs w:val="24"/>
        </w:rPr>
        <w:t xml:space="preserve"> yang mengukuhkan teori empirisme terkait penyelidikan terhadap kebenaran yang bertumpu pada kemampuan inderawi.</w:t>
      </w:r>
      <w:r w:rsidR="00CD411E" w:rsidRPr="0063725A">
        <w:rPr>
          <w:rFonts w:ascii="Book Antiqua" w:eastAsia="Calibri" w:hAnsi="Book Antiqua" w:cs="Arial"/>
          <w:sz w:val="24"/>
          <w:szCs w:val="24"/>
          <w:vertAlign w:val="superscript"/>
        </w:rPr>
        <w:footnoteReference w:id="88"/>
      </w:r>
      <w:r w:rsidR="00CD411E" w:rsidRPr="0063725A">
        <w:rPr>
          <w:rFonts w:ascii="Book Antiqua" w:eastAsia="Calibri" w:hAnsi="Book Antiqua" w:cs="Arial"/>
          <w:sz w:val="24"/>
          <w:szCs w:val="24"/>
        </w:rPr>
        <w:t>Bacon dengan karyanya tersebut pada masa selanjutnya sangat mempengaruhi perkembangan ilmu pengetahuan di Inggris.Pandangan Bacon pada prinsipnya sama dengan kaum empirisme tentang o</w:t>
      </w:r>
      <w:r w:rsidR="00CD411E" w:rsidRPr="0063725A">
        <w:rPr>
          <w:rFonts w:ascii="Book Antiqua" w:eastAsia="Times New Roman" w:hAnsi="Book Antiqua" w:cs="Arial"/>
          <w:sz w:val="24"/>
          <w:szCs w:val="24"/>
        </w:rPr>
        <w:t xml:space="preserve">bjek pengetahuan </w:t>
      </w:r>
      <w:r w:rsidR="00CD411E" w:rsidRPr="0063725A">
        <w:rPr>
          <w:rFonts w:ascii="Book Antiqua" w:eastAsia="Times New Roman" w:hAnsi="Book Antiqua" w:cs="Arial"/>
          <w:sz w:val="24"/>
          <w:szCs w:val="24"/>
        </w:rPr>
        <w:lastRenderedPageBreak/>
        <w:t>inderawi, yaitu bentuk lahiriah yang ditunjukkan oleh benda tersebut.</w:t>
      </w:r>
      <w:r w:rsidR="00CD411E" w:rsidRPr="0063725A">
        <w:rPr>
          <w:rFonts w:ascii="Book Antiqua" w:eastAsia="Calibri" w:hAnsi="Book Antiqua" w:cs="Arial"/>
          <w:sz w:val="24"/>
          <w:szCs w:val="24"/>
        </w:rPr>
        <w:t>Cara pandang empiris terhadap ilmu pengetahuan memberi corak bagi perkembangan filsafat Ilmu pengetahuan, termasuk dalam ilmu hukum, khususnya terkait metode ilmiah (</w:t>
      </w:r>
      <w:r w:rsidR="00CD411E" w:rsidRPr="0063725A">
        <w:rPr>
          <w:rFonts w:ascii="Book Antiqua" w:eastAsia="Calibri" w:hAnsi="Book Antiqua" w:cs="Arial"/>
          <w:i/>
          <w:sz w:val="24"/>
          <w:szCs w:val="24"/>
        </w:rPr>
        <w:t>scientific method</w:t>
      </w:r>
      <w:r w:rsidR="00CD411E" w:rsidRPr="0063725A">
        <w:rPr>
          <w:rFonts w:ascii="Book Antiqua" w:eastAsia="Calibri" w:hAnsi="Book Antiqua" w:cs="Arial"/>
          <w:sz w:val="24"/>
          <w:szCs w:val="24"/>
        </w:rPr>
        <w:t>) yang memiliki pandangan bahwa pengertian yang paling baik tentang metode ilmiah seperti dikemukakan oleh paham empirisme.</w:t>
      </w:r>
      <w:r w:rsidR="00CD411E" w:rsidRPr="0063725A">
        <w:rPr>
          <w:rFonts w:ascii="Book Antiqua" w:eastAsia="Calibri" w:hAnsi="Book Antiqua" w:cs="Arial"/>
          <w:sz w:val="24"/>
          <w:szCs w:val="24"/>
          <w:vertAlign w:val="superscript"/>
        </w:rPr>
        <w:footnoteReference w:id="89"/>
      </w:r>
      <w:r w:rsidR="00CD411E" w:rsidRPr="0063725A">
        <w:rPr>
          <w:rFonts w:ascii="Book Antiqua" w:eastAsia="Calibri" w:hAnsi="Book Antiqua" w:cs="Arial"/>
          <w:sz w:val="24"/>
          <w:szCs w:val="24"/>
        </w:rPr>
        <w:t xml:space="preserve"> Hukum sebagai bagian dari ilmu pengetahuan sosial masyarakat, jika menganut acuan pada metode ilmiah dari paham empirisme, maka yang disebut sebagai hukum adalah tradisi kebiasaan yang tampak dalam pergaulan hidup di masyarakat. Dengan demikian, objek hukum yang bersifat empiris nyata dalam pergaulan hidup di masyarakat dapat tertangkap oleh indera.</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eastAsia="Calibri" w:hAnsi="Book Antiqua" w:cs="Arial"/>
          <w:sz w:val="24"/>
          <w:szCs w:val="24"/>
        </w:rPr>
        <w:t xml:space="preserve">          Indera sebagai sarana penalaran utama epistemologi ilmu hukum pada dasarnya memiliki cara kerja yang sama dengan ilmu pengetahuan yang lain, asal mula dari objek hukum yang berupa kebiasaan masyarakat pertama-tama akan melalui proses pengamatan atau observasi oleh indera.</w:t>
      </w:r>
      <w:r w:rsidRPr="0063725A">
        <w:rPr>
          <w:rStyle w:val="FootnoteReference"/>
          <w:rFonts w:ascii="Book Antiqua" w:eastAsia="Calibri" w:hAnsi="Book Antiqua" w:cs="Arial"/>
          <w:sz w:val="24"/>
          <w:szCs w:val="24"/>
        </w:rPr>
        <w:footnoteReference w:id="90"/>
      </w:r>
      <w:r w:rsidRPr="0063725A">
        <w:rPr>
          <w:rFonts w:ascii="Book Antiqua" w:eastAsia="Calibri" w:hAnsi="Book Antiqua" w:cs="Arial"/>
          <w:sz w:val="24"/>
          <w:szCs w:val="24"/>
        </w:rPr>
        <w:t xml:space="preserve"> Akal hanya akan dapat memahami hukum jika mendapat suplai data empiris yang diperoleh dari indera. Hal ini sesuai dengan apa yang telah dikemukakan oleh John Locke, bahwa akal seperti papan tulis yang masih kosong atau diibaratkan seperti kamera yang merekam kesan-kesan dari luar yang tertangkap oleh indera. Pengetahuan menurut Locke, seperti dalam karyanya “</w:t>
      </w:r>
      <w:r w:rsidRPr="0063725A">
        <w:rPr>
          <w:rFonts w:ascii="Book Antiqua" w:eastAsia="Calibri" w:hAnsi="Book Antiqua" w:cs="Arial"/>
          <w:i/>
          <w:sz w:val="24"/>
          <w:szCs w:val="24"/>
        </w:rPr>
        <w:t>essay concerning human understanding</w:t>
      </w:r>
      <w:r w:rsidRPr="0063725A">
        <w:rPr>
          <w:rFonts w:ascii="Book Antiqua" w:eastAsia="Calibri" w:hAnsi="Book Antiqua" w:cs="Arial"/>
          <w:sz w:val="24"/>
          <w:szCs w:val="24"/>
        </w:rPr>
        <w:t xml:space="preserve">,” yang menyatakan bahwa semua pengetahuan manusia bersumber dari pengalaman inderawi manusia yang dibantu oleh akal hingga menghasilkan bermacam-macam </w:t>
      </w:r>
      <w:r w:rsidRPr="0063725A">
        <w:rPr>
          <w:rFonts w:ascii="Book Antiqua" w:eastAsia="Calibri" w:hAnsi="Book Antiqua" w:cs="Arial"/>
          <w:sz w:val="24"/>
          <w:szCs w:val="24"/>
        </w:rPr>
        <w:lastRenderedPageBreak/>
        <w:t>pengetahuan.</w:t>
      </w:r>
      <w:r w:rsidRPr="0063725A">
        <w:rPr>
          <w:rFonts w:ascii="Book Antiqua" w:eastAsia="Calibri" w:hAnsi="Book Antiqua" w:cs="Arial"/>
          <w:sz w:val="24"/>
          <w:szCs w:val="24"/>
          <w:vertAlign w:val="superscript"/>
        </w:rPr>
        <w:footnoteReference w:id="91"/>
      </w:r>
      <w:r w:rsidRPr="0063725A">
        <w:rPr>
          <w:rFonts w:ascii="Book Antiqua" w:eastAsia="Calibri" w:hAnsi="Book Antiqua" w:cs="Arial"/>
          <w:sz w:val="24"/>
          <w:szCs w:val="24"/>
        </w:rPr>
        <w:t xml:space="preserve"> Teori </w:t>
      </w:r>
      <w:r w:rsidRPr="0063725A">
        <w:rPr>
          <w:rFonts w:ascii="Book Antiqua" w:eastAsia="Calibri" w:hAnsi="Book Antiqua" w:cs="Arial"/>
          <w:i/>
          <w:sz w:val="24"/>
          <w:szCs w:val="24"/>
        </w:rPr>
        <w:t>tabula rasa</w:t>
      </w:r>
      <w:r w:rsidRPr="0063725A">
        <w:rPr>
          <w:rFonts w:ascii="Book Antiqua" w:eastAsia="Calibri" w:hAnsi="Book Antiqua" w:cs="Arial"/>
          <w:sz w:val="24"/>
          <w:szCs w:val="24"/>
        </w:rPr>
        <w:t xml:space="preserve"> yang dikemukakan Locke pada prinsipnya memiliki kesamaan dengan kaidah-kaidah penggunaan indera sebagai sarana penalaran epistemologi mahzab sejarah hukum. Perilaku manusia dalam pergaulan hidup menjadi fakta hukum khusus yang terjadi dalam kehidupan sosial masyarakat yang semakin lama akan bertambah banyak dan menjadi fakta-fakta hukum yang bersifat umum berupa kebudayaan, sehingga dari situ dapat memberikan pengetahuan hukum yang dapat digeneralisir kebenarannya. Hal itu diperkuat sifat manusia yang memiliki kecenderungan untuk meniru sesuatu yang telah ada dan membuat kesesuaian dengan realitas yang terjadi semakin besar. </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rPr>
      </w:pPr>
      <w:r w:rsidRPr="0063725A">
        <w:rPr>
          <w:rFonts w:ascii="Book Antiqua" w:eastAsia="Calibri" w:hAnsi="Book Antiqua" w:cs="Arial"/>
          <w:sz w:val="24"/>
          <w:szCs w:val="24"/>
        </w:rPr>
        <w:t xml:space="preserve">          Pengalaman empiris di dalam masyarakat sebagai objek ilmu hukum yang dikembangkan dengan sarana penalaran indera, dalam ilmu pengetahuan juga memiliki prinsip yang sama dengan apa yang disampaikan oleh Thomas Hobbes. Menurut Hobes pengalaman yang tertangkap secara inderawi merupakan permulaan dari segala pengenalan terhadap apa yang dipandang benar dari suatu ilmu pengetahuan. Hobes lebih keras mengatakan, bahwa hanya sesuatu yang dapat ditangkap oleh indera manusia saja yang merupakan pengetahuan kebenaran. Pengetahuan yang berasal dari sarana penalaran akal secara logikatidak lain hanyalah merupakan dari penggabungan data-data yang sebenarnya diperoleh dari hasil pengamatan inderawi manusia. Pandangan mahzab sejarah hukum yang menolak penggunaan logika rasional akal secara ketat dalam memperoleh kebenaran hukum menjadi dasar untuk menyatakan prinsip-prinsip yang sama. Meminjam istilah dari apa yang disampaikan oleh Hobbes dan para filsuf empirisme lainnya, dunia fisik adalah sesuatau yang telah bersifat nyata adanya, karena hal itu </w:t>
      </w:r>
      <w:r w:rsidRPr="0063725A">
        <w:rPr>
          <w:rFonts w:ascii="Book Antiqua" w:eastAsia="Calibri" w:hAnsi="Book Antiqua" w:cs="Arial"/>
          <w:sz w:val="24"/>
          <w:szCs w:val="24"/>
        </w:rPr>
        <w:lastRenderedPageBreak/>
        <w:t>merupakan gejala dari objek yang tampak riil tertangkap oleh indera manusia sebagai instrumen yang lebih dekat dengan keberadaan objek dan itulah yang disebut sebagai pengatahuan yang benar.</w:t>
      </w:r>
      <w:r w:rsidRPr="0063725A">
        <w:rPr>
          <w:rFonts w:ascii="Book Antiqua" w:eastAsia="Calibri" w:hAnsi="Book Antiqua" w:cs="Arial"/>
          <w:sz w:val="24"/>
          <w:szCs w:val="24"/>
          <w:vertAlign w:val="superscript"/>
        </w:rPr>
        <w:footnoteReference w:id="92"/>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lang w:eastAsia="en-GB"/>
        </w:rPr>
      </w:pPr>
      <w:r w:rsidRPr="0063725A">
        <w:rPr>
          <w:rFonts w:ascii="Book Antiqua" w:eastAsia="Calibri" w:hAnsi="Book Antiqua" w:cs="Arial"/>
          <w:sz w:val="24"/>
          <w:szCs w:val="24"/>
        </w:rPr>
        <w:t xml:space="preserve">          Pandangan dari mahzab sejarah hukum yang menolak penggunaan secara ketat logika rasional hukum juga seperti yang dikemukakan David Hume dalam memahami kebenaran pengetahuan. Hume mengingkari substansi material sebagai akibat keterputusannya yang kuat pada hasil indera dan terhadap pengetahuan yang berubah secara alami dipahami sebagai realitas nyata. Pandangan tersebut, jika merujuk pada apa yang dikemukakan oleh Hume, maka pengalaman berupa praktek hukum di masyarakat lebih memberi kebenaran objek hukum yang kuat dibanding dengan kesimpulan yang dihasilkan dari logika akal dan kausalitas yang tidak dapat digunakan untuk menetapkan peristiwa-peristiwa hukum selanjutnya berdasarkan peristiwa hukum yang telah terjadi, sehingga pengalaman empiris yang dipandang sebagai hukum yang mampu memberikan informasi yang langsung dan pasti terhadap objek yang diamati sesuai dengan </w:t>
      </w:r>
      <w:r w:rsidRPr="0063725A">
        <w:rPr>
          <w:rFonts w:ascii="Book Antiqua" w:eastAsia="Calibri" w:hAnsi="Book Antiqua" w:cs="Arial"/>
          <w:i/>
          <w:sz w:val="24"/>
          <w:szCs w:val="24"/>
        </w:rPr>
        <w:t>tempus</w:t>
      </w:r>
      <w:r w:rsidRPr="0063725A">
        <w:rPr>
          <w:rFonts w:ascii="Book Antiqua" w:eastAsia="Calibri" w:hAnsi="Book Antiqua" w:cs="Arial"/>
          <w:sz w:val="24"/>
          <w:szCs w:val="24"/>
        </w:rPr>
        <w:t xml:space="preserve"> dan </w:t>
      </w:r>
      <w:r w:rsidRPr="0063725A">
        <w:rPr>
          <w:rFonts w:ascii="Book Antiqua" w:eastAsia="Calibri" w:hAnsi="Book Antiqua" w:cs="Arial"/>
          <w:i/>
          <w:sz w:val="24"/>
          <w:szCs w:val="24"/>
        </w:rPr>
        <w:t>locus.</w:t>
      </w:r>
      <w:r w:rsidRPr="0063725A">
        <w:rPr>
          <w:rFonts w:ascii="Book Antiqua" w:eastAsia="Calibri" w:hAnsi="Book Antiqua" w:cs="Arial"/>
          <w:sz w:val="24"/>
          <w:szCs w:val="24"/>
        </w:rPr>
        <w:t xml:space="preserve"> Hume, bahkan dalam hal ini memiliki pandangan yang sama dengan membedakan objek dari hal-hal yang telah terjadi dan bersifat inderawi </w:t>
      </w:r>
      <w:r w:rsidRPr="0063725A">
        <w:rPr>
          <w:rFonts w:ascii="Book Antiqua" w:eastAsia="Calibri" w:hAnsi="Book Antiqua" w:cs="Arial"/>
          <w:i/>
          <w:sz w:val="24"/>
          <w:szCs w:val="24"/>
        </w:rPr>
        <w:t xml:space="preserve">(is/sein) </w:t>
      </w:r>
      <w:r w:rsidRPr="0063725A">
        <w:rPr>
          <w:rFonts w:ascii="Book Antiqua" w:eastAsia="Calibri" w:hAnsi="Book Antiqua" w:cs="Arial"/>
          <w:sz w:val="24"/>
          <w:szCs w:val="24"/>
        </w:rPr>
        <w:t xml:space="preserve">dengan objek dari hal-hal yang seharusnya </w:t>
      </w:r>
      <w:r w:rsidRPr="0063725A">
        <w:rPr>
          <w:rFonts w:ascii="Book Antiqua" w:eastAsia="Calibri" w:hAnsi="Book Antiqua" w:cs="Arial"/>
          <w:i/>
          <w:sz w:val="24"/>
          <w:szCs w:val="24"/>
        </w:rPr>
        <w:t>(ought/sollen)</w:t>
      </w:r>
      <w:r w:rsidRPr="0063725A">
        <w:rPr>
          <w:rFonts w:ascii="Book Antiqua" w:eastAsia="Calibri" w:hAnsi="Book Antiqua" w:cs="Arial"/>
          <w:sz w:val="24"/>
          <w:szCs w:val="24"/>
        </w:rPr>
        <w:t>.</w:t>
      </w:r>
      <w:r w:rsidRPr="0063725A">
        <w:rPr>
          <w:rFonts w:ascii="Book Antiqua" w:eastAsia="Calibri" w:hAnsi="Book Antiqua" w:cs="Arial"/>
          <w:sz w:val="24"/>
          <w:szCs w:val="24"/>
          <w:vertAlign w:val="superscript"/>
        </w:rPr>
        <w:footnoteReference w:id="93"/>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hAnsi="Book Antiqua" w:cs="Arial"/>
          <w:sz w:val="24"/>
          <w:szCs w:val="24"/>
        </w:rPr>
        <w:t xml:space="preserve">          </w:t>
      </w:r>
      <w:r w:rsidR="00CD411E" w:rsidRPr="0063725A">
        <w:rPr>
          <w:rFonts w:ascii="Book Antiqua" w:hAnsi="Book Antiqua" w:cs="Arial"/>
          <w:sz w:val="24"/>
          <w:szCs w:val="24"/>
        </w:rPr>
        <w:t xml:space="preserve">Epistemologi ilmu hukum yang dikembangkan dengan sarana penalaran indera memiliki objek berupa pergaulan hidup di masyarakat, maka untuk memperoleh kebenaran hukumnya harus didukung dengan teori hukum yang relevan. Oleh karena itu, telah sesuai kiranya jika epistemologi ilmu hukum yang </w:t>
      </w:r>
      <w:r w:rsidR="00CD411E" w:rsidRPr="0063725A">
        <w:rPr>
          <w:rFonts w:ascii="Book Antiqua" w:hAnsi="Book Antiqua" w:cs="Arial"/>
          <w:sz w:val="24"/>
          <w:szCs w:val="24"/>
        </w:rPr>
        <w:lastRenderedPageBreak/>
        <w:t xml:space="preserve">dikembangkan dengan sarana penalaran indera didukung dengan mahzab sejarah hukum yang memiliki kemiripan corak dan karakteristik. Mahzab sejarah hukum </w:t>
      </w:r>
      <w:r w:rsidR="00CD411E" w:rsidRPr="0063725A">
        <w:rPr>
          <w:rFonts w:ascii="Book Antiqua" w:eastAsia="Times New Roman" w:hAnsi="Book Antiqua" w:cs="Arial"/>
          <w:sz w:val="24"/>
          <w:szCs w:val="24"/>
        </w:rPr>
        <w:t>menempatkan kebenaran terhadap hal-hal yang didasarkan pada pengalaman empiris di masyarakat dan lebih cenderung melihat hukum sebagai bentuk dari tradisi, budaya, kebiasaa, adat istiadat dan kultur yang senantiasa dipakai dalam pergaulan hidup. Realitas empiris yang telah ada di masyarakat merupakan dasar dari pemikiran hukum yang berusaha untuk memahami hukum dan masyarakat, karena hukum dipengaruhi oleh keadaan masyarakat. Pandangan hukum sebagai realitas empiris yang telah terjadi akan selalu menyesuaikan diri dengan dinamika perkembangan masyarakat. Memandang hukum sebagai bentuk pergaulan hidup di masyarakat, sebagaimana telah disinggung dalam dikerangka teori di depan menjadi cirikhas utama dalam mahzab sejarah hukum.</w:t>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 xml:space="preserve">Penggunaan indera sebagai sarana penalaran epistemologi ilmu pengetahuan seperti yang dikemukakan oleh para tokoh penganut aliran empirisme yang menyatakan, bahwa indera merupakan dasar dari semua pengetahuan manusia pada dasarnya memiliki cara pandang yang hampir sama dengan mahzab sejarah hukum. Dalam ilmu pengetahuan sosial, termasuk ilmu hukum, yang dimaksud dengan objek berbentuk fisik dan lahiriah adalah manusia dan segala perilakunya dalam kehidupan masyarakat. Indera sebagai sarana penalaran epistemologi ilmu hukum pada dasarnya sama dengan ilmu pengetahuan lain yang berada di bawah naungan paham empirisme </w:t>
      </w:r>
      <w:r w:rsidR="00CD411E" w:rsidRPr="0063725A">
        <w:rPr>
          <w:rFonts w:ascii="Book Antiqua" w:hAnsi="Book Antiqua" w:cs="Arial"/>
          <w:sz w:val="24"/>
          <w:szCs w:val="24"/>
        </w:rPr>
        <w:t>yang memandang kebenaran dari realitas empiris nyata yang tertangkap oleh indera.</w:t>
      </w:r>
      <w:r w:rsidR="00CD411E" w:rsidRPr="0063725A">
        <w:rPr>
          <w:rFonts w:ascii="Book Antiqua" w:eastAsia="Times New Roman" w:hAnsi="Book Antiqua" w:cs="Arial"/>
          <w:sz w:val="24"/>
          <w:szCs w:val="24"/>
        </w:rPr>
        <w:t xml:space="preserve"> Paham empirisme tersebut seperti halnya dalam mahzab sejarah hukum yang memandang hukum yang benar apabila sesuai dengan </w:t>
      </w:r>
      <w:r w:rsidR="00CD411E" w:rsidRPr="0063725A">
        <w:rPr>
          <w:rFonts w:ascii="Book Antiqua" w:eastAsia="Times New Roman" w:hAnsi="Book Antiqua" w:cs="Arial"/>
          <w:sz w:val="24"/>
          <w:szCs w:val="24"/>
        </w:rPr>
        <w:lastRenderedPageBreak/>
        <w:t xml:space="preserve">tradisi dan kebiasaaanyang ada di masyarakat. Dengan demikian, yang dimaksud objek dalam pandangan hukum adalah bentuk nyata dari pergaulan hidup masyarakat yang tertangkap olehindera. </w:t>
      </w:r>
    </w:p>
    <w:p w:rsidR="00CD411E" w:rsidRPr="0063725A" w:rsidRDefault="00DC0820" w:rsidP="00CD411E">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Kebiasaan merupakan fakta empiris dalam pergaulan hidup di masyarakat sebagai dasar dari asumsi pandangan mahzab sejarah hukum yang berusaha untuk memahami hukum dalam proses interaksi kehidupan masyarakat. Hukum dalam pandangan ini dipengaruhi oleh keadaan lingkungan sosial masyarakat. Dalam konteks ini hukum tidak dapat disamakan dengan ilmu-ilmu pasti yang disusun secara ketat pada logika rasional yang tidak pernah terpengaruh secara langsung oleh keadaan masyarakat. Dalam keadaan seperti ini, kondisi sosial masyarakat dimana hukum itu berada akan memberi pengaruh bagi bekerjanya hukum dalam masyarakat. Hukum tidak dapat berlaku secara universal seperti dalam hukum kodrat atau hanya taat pada asas dan sistem norma seperti dalam positivisme hukum. Hukum sebagai bentuk dari kebiasaan akan terus hidup dan berkembang sesuai dengan dinamika di dalam masyarakat.Kebiasaan yang ada di masyarakat menjadi cermin dari budaya hukum yang ada di masyarakat tersebut, sehingga menurut Menachem Mautner terdapat hubungan yang sangat erat antara budaya masyarakat dengan hukum.</w:t>
      </w:r>
      <w:r w:rsidR="00CD411E" w:rsidRPr="0063725A">
        <w:rPr>
          <w:rStyle w:val="FootnoteReference"/>
          <w:rFonts w:ascii="Book Antiqua" w:eastAsia="Times New Roman" w:hAnsi="Book Antiqua" w:cs="Arial"/>
          <w:sz w:val="24"/>
          <w:szCs w:val="24"/>
        </w:rPr>
        <w:footnoteReference w:id="94"/>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Mahzab sejarah hukum memiliki objek berupa tradisi kebiasaanyang terdapat dalam pergaulan hidup di masyarakat yang secara empiris dapat diamati oleh indera. Hal ini yang menempatkan mahzab sejarah hukum memiliki prinsip yang sama dalam memandang objek dengan aliran empirisme. Objek epistemologi ilmu hukum yang mengkaji hukum sebagai bentuk dari kebiasaan atau budaya yang </w:t>
      </w:r>
      <w:r w:rsidRPr="0063725A">
        <w:rPr>
          <w:rFonts w:ascii="Book Antiqua" w:eastAsia="Times New Roman" w:hAnsi="Book Antiqua" w:cs="Arial"/>
          <w:sz w:val="24"/>
          <w:szCs w:val="24"/>
        </w:rPr>
        <w:lastRenderedPageBreak/>
        <w:t>telah hidup dan berkembang di masyarakat memiliki makna dan konsepsi sebagai tata pergaulan perilaku masyarakat yang ajeg dan terlembagakan serta mendapatkan legitimasi secara sosial dimana masyarakat taat dan tunduk pada pemahaman hukum tersebut.Objek kajian epistemologi ilmu hukum yang dikembangkan dengan sarana penalaran indera seperti nampak dalam pandangan mahzab sejarah hukum dapat mengungkapkan apa yang tampak nyata dibalik perilaku masyarakat, seperti spirit dan jiwa (</w:t>
      </w:r>
      <w:r w:rsidRPr="0063725A">
        <w:rPr>
          <w:rFonts w:ascii="Book Antiqua" w:eastAsia="Times New Roman" w:hAnsi="Book Antiqua" w:cs="Arial"/>
          <w:i/>
          <w:sz w:val="24"/>
          <w:szCs w:val="24"/>
        </w:rPr>
        <w:t>Volksgeist</w:t>
      </w:r>
      <w:r w:rsidRPr="0063725A">
        <w:rPr>
          <w:rFonts w:ascii="Book Antiqua" w:eastAsia="Times New Roman" w:hAnsi="Book Antiqua" w:cs="Arial"/>
          <w:sz w:val="24"/>
          <w:szCs w:val="24"/>
        </w:rPr>
        <w:t>) yang mampu menghidupkan masyarakat.</w:t>
      </w:r>
      <w:r w:rsidRPr="0063725A">
        <w:rPr>
          <w:rStyle w:val="FootnoteReference"/>
          <w:rFonts w:ascii="Book Antiqua" w:eastAsia="Times New Roman" w:hAnsi="Book Antiqua" w:cs="Arial"/>
          <w:sz w:val="24"/>
          <w:szCs w:val="24"/>
        </w:rPr>
        <w:footnoteReference w:id="95"/>
      </w:r>
      <w:r w:rsidRPr="0063725A">
        <w:rPr>
          <w:rFonts w:ascii="Book Antiqua" w:eastAsia="Times New Roman" w:hAnsi="Book Antiqua" w:cs="Arial"/>
          <w:sz w:val="24"/>
          <w:szCs w:val="24"/>
        </w:rPr>
        <w:t>Hal ini berguna untuk mendapatkan gambaran yang utuh mengenai nilai-nilai yang telah dianut dan dipraktekkan secara nyata dalam pergaulan hidup di masyarakat. Nilai-nilai tersebut merupakan cermin nyata dari pandangan hidup yang dianggap benar oleh masyarakat.</w:t>
      </w:r>
    </w:p>
    <w:p w:rsidR="00CD411E" w:rsidRPr="0063725A" w:rsidRDefault="00DC0820" w:rsidP="00CD411E">
      <w:pPr>
        <w:tabs>
          <w:tab w:val="right" w:leader="dot" w:pos="7938"/>
        </w:tabs>
        <w:spacing w:after="0" w:line="480" w:lineRule="auto"/>
        <w:jc w:val="both"/>
        <w:rPr>
          <w:rFonts w:ascii="Book Antiqua" w:eastAsia="Times New Roman" w:hAnsi="Book Antiqua" w:cs="Arial"/>
          <w:color w:val="FF0000"/>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Epistemologi ilmu hukum yang dikembangkan dengan sarana penalaran indera sebagaimana dijelaskan oleh mahzab sejarah hukum yang memandang objek hukum berupa tradisi, kebiasaan dan praktek-praktek empiris kemasyarakatan lainnya seperti yang dikemukakan oleh Friedrich Karl von Savigny. Menurut mahzab sejarah hukum yang dipelopori oleh Savigny, hukum tergantung dari perkembangan kehidupan yang ada di dalam masyarakat.</w:t>
      </w:r>
      <w:r w:rsidR="00CD411E" w:rsidRPr="0063725A">
        <w:rPr>
          <w:rFonts w:ascii="Book Antiqua" w:eastAsia="Times New Roman" w:hAnsi="Book Antiqua" w:cs="Arial"/>
          <w:sz w:val="24"/>
          <w:szCs w:val="24"/>
          <w:vertAlign w:val="superscript"/>
        </w:rPr>
        <w:footnoteReference w:id="96"/>
      </w:r>
      <w:r w:rsidR="00CD411E" w:rsidRPr="0063725A">
        <w:rPr>
          <w:rFonts w:ascii="Book Antiqua" w:eastAsia="Times New Roman" w:hAnsi="Book Antiqua" w:cs="Arial"/>
          <w:sz w:val="24"/>
          <w:szCs w:val="24"/>
        </w:rPr>
        <w:t xml:space="preserve"> Savigny kemudian berhasil membangun hipotesis bahwa semua sistem hukum itu pada dasarnya berasal atau bersumber dari suatu kebiasaan dan dalam perkembangannya kemudian hukum dihasilkan melalui aktivitas dan kreasi pembuat hukum.</w:t>
      </w:r>
      <w:r w:rsidR="00CD411E" w:rsidRPr="0063725A">
        <w:rPr>
          <w:rFonts w:ascii="Book Antiqua" w:eastAsia="Times New Roman" w:hAnsi="Book Antiqua" w:cs="Arial"/>
          <w:sz w:val="24"/>
          <w:szCs w:val="24"/>
          <w:vertAlign w:val="superscript"/>
        </w:rPr>
        <w:footnoteReference w:id="97"/>
      </w:r>
      <w:r w:rsidR="00CD411E" w:rsidRPr="0063725A">
        <w:rPr>
          <w:rFonts w:ascii="Book Antiqua" w:eastAsia="Times New Roman" w:hAnsi="Book Antiqua" w:cs="Arial"/>
          <w:i/>
          <w:sz w:val="24"/>
          <w:szCs w:val="24"/>
        </w:rPr>
        <w:t>Volksgeist</w:t>
      </w:r>
      <w:r w:rsidR="00CD411E" w:rsidRPr="0063725A">
        <w:rPr>
          <w:rFonts w:ascii="Book Antiqua" w:eastAsia="Times New Roman" w:hAnsi="Book Antiqua" w:cs="Arial"/>
          <w:sz w:val="24"/>
          <w:szCs w:val="24"/>
        </w:rPr>
        <w:t xml:space="preserve">sebagai jiwa bangsa merupakan bentuk dari nilai-nilai yang </w:t>
      </w:r>
      <w:r w:rsidR="00CD411E" w:rsidRPr="0063725A">
        <w:rPr>
          <w:rFonts w:ascii="Book Antiqua" w:eastAsia="Times New Roman" w:hAnsi="Book Antiqua" w:cs="Arial"/>
          <w:sz w:val="24"/>
          <w:szCs w:val="24"/>
        </w:rPr>
        <w:lastRenderedPageBreak/>
        <w:t>berkembang dalam kehidupan masyarakat yang dapat dilihat dari adanya tradisi kebiasaan masyarakat, oleh karena itu menurut pandangan Savigny hukum harus terkait erat dengan masyarakat.</w:t>
      </w:r>
      <w:r w:rsidR="00CD411E" w:rsidRPr="0063725A">
        <w:rPr>
          <w:rFonts w:ascii="Book Antiqua" w:eastAsia="Times New Roman" w:hAnsi="Book Antiqua" w:cs="Arial"/>
          <w:sz w:val="24"/>
          <w:szCs w:val="24"/>
          <w:vertAlign w:val="superscript"/>
        </w:rPr>
        <w:footnoteReference w:id="98"/>
      </w:r>
      <w:r w:rsidR="00CD411E" w:rsidRPr="0063725A">
        <w:rPr>
          <w:rFonts w:ascii="Book Antiqua" w:eastAsia="Times New Roman" w:hAnsi="Book Antiqua" w:cs="Arial"/>
          <w:sz w:val="24"/>
          <w:szCs w:val="24"/>
        </w:rPr>
        <w:t xml:space="preserve"> Hukum harus dipandang sebagai salah satu aspek dari kehidupan sosial, karena hukum merupakan bagian dari jejak kehidupan dan sekaligus manifestasi dari karakter bangsa.</w:t>
      </w:r>
      <w:r w:rsidR="00CD411E" w:rsidRPr="0063725A">
        <w:rPr>
          <w:rFonts w:ascii="Book Antiqua" w:eastAsia="Times New Roman" w:hAnsi="Book Antiqua" w:cs="Arial"/>
          <w:sz w:val="24"/>
          <w:szCs w:val="24"/>
          <w:vertAlign w:val="superscript"/>
        </w:rPr>
        <w:footnoteReference w:id="99"/>
      </w:r>
      <w:r w:rsidR="00CD411E" w:rsidRPr="0063725A">
        <w:rPr>
          <w:rFonts w:ascii="Book Antiqua" w:eastAsia="Times New Roman" w:hAnsi="Book Antiqua" w:cs="Arial"/>
          <w:sz w:val="24"/>
          <w:szCs w:val="24"/>
        </w:rPr>
        <w:t xml:space="preserve"> Oleh karena itu, benar menurut hukum juga benar menurut sejarah hukum,</w:t>
      </w:r>
      <w:r w:rsidR="00CD411E" w:rsidRPr="0063725A">
        <w:rPr>
          <w:rFonts w:ascii="Book Antiqua" w:eastAsia="Times New Roman" w:hAnsi="Book Antiqua" w:cs="Arial"/>
          <w:sz w:val="24"/>
          <w:szCs w:val="24"/>
          <w:vertAlign w:val="superscript"/>
        </w:rPr>
        <w:footnoteReference w:id="100"/>
      </w:r>
      <w:r w:rsidR="00CD411E" w:rsidRPr="0063725A">
        <w:rPr>
          <w:rFonts w:ascii="Book Antiqua" w:eastAsia="Times New Roman" w:hAnsi="Book Antiqua" w:cs="Arial"/>
          <w:sz w:val="24"/>
          <w:szCs w:val="24"/>
        </w:rPr>
        <w:t>karena hukummerupakan kreasi masyarakat sebagai ekspresi dari spirit dan jiwa masyarakat. Berdasarkan uraian tersebut, maka sumber hukum dan sekaligus objek hukum yang paling utama menurut mahzab sejarah adalah kebiasaan (</w:t>
      </w:r>
      <w:r w:rsidR="00CD411E" w:rsidRPr="0063725A">
        <w:rPr>
          <w:rFonts w:ascii="Book Antiqua" w:eastAsia="Times New Roman" w:hAnsi="Book Antiqua" w:cs="Arial"/>
          <w:i/>
          <w:sz w:val="24"/>
          <w:szCs w:val="24"/>
        </w:rPr>
        <w:t>custom</w:t>
      </w:r>
      <w:r w:rsidR="00CD411E" w:rsidRPr="0063725A">
        <w:rPr>
          <w:rFonts w:ascii="Book Antiqua" w:eastAsia="Times New Roman" w:hAnsi="Book Antiqua" w:cs="Arial"/>
          <w:sz w:val="24"/>
          <w:szCs w:val="24"/>
        </w:rPr>
        <w:t>).</w:t>
      </w:r>
      <w:r w:rsidR="00CD411E" w:rsidRPr="0063725A">
        <w:rPr>
          <w:rFonts w:ascii="Book Antiqua" w:eastAsia="Times New Roman" w:hAnsi="Book Antiqua" w:cs="Arial"/>
          <w:sz w:val="24"/>
          <w:szCs w:val="24"/>
          <w:vertAlign w:val="superscript"/>
        </w:rPr>
        <w:footnoteReference w:id="101"/>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color w:val="FF0000"/>
          <w:sz w:val="24"/>
          <w:szCs w:val="24"/>
        </w:rPr>
        <w:tab/>
      </w:r>
      <w:r w:rsidR="00DC0820">
        <w:rPr>
          <w:rFonts w:ascii="Book Antiqua" w:eastAsia="Times New Roman" w:hAnsi="Book Antiqua" w:cs="Arial"/>
          <w:color w:val="FF0000"/>
          <w:sz w:val="24"/>
          <w:szCs w:val="24"/>
        </w:rPr>
        <w:t xml:space="preserve">          </w:t>
      </w:r>
      <w:r w:rsidRPr="0063725A">
        <w:rPr>
          <w:rFonts w:ascii="Book Antiqua" w:eastAsia="Times New Roman" w:hAnsi="Book Antiqua" w:cs="Arial"/>
          <w:sz w:val="24"/>
          <w:szCs w:val="24"/>
        </w:rPr>
        <w:t>Skema objek kajian mengenai hukum yang berupa kebiasaan dalam pergaulan masyarakat dengan indera sebagai sarana penalaran utama epistemologi ilmu hukum dapat digambarkan sebagai berikut:</w:t>
      </w:r>
    </w:p>
    <w:p w:rsidR="00CD411E" w:rsidRPr="0063725A" w:rsidRDefault="00D521E1" w:rsidP="00CD411E">
      <w:pPr>
        <w:tabs>
          <w:tab w:val="right" w:leader="dot" w:pos="7938"/>
        </w:tabs>
        <w:spacing w:after="0" w:line="240" w:lineRule="auto"/>
        <w:jc w:val="both"/>
        <w:rPr>
          <w:rFonts w:ascii="Book Antiqua" w:eastAsia="Times New Roman" w:hAnsi="Book Antiqua" w:cs="Arial"/>
          <w:color w:val="FF0000"/>
          <w:sz w:val="24"/>
          <w:szCs w:val="24"/>
        </w:rPr>
      </w:pPr>
      <w:r w:rsidRPr="00D521E1">
        <w:rPr>
          <w:rFonts w:ascii="Book Antiqua" w:eastAsia="Times New Roman" w:hAnsi="Book Antiqua" w:cs="Arial"/>
          <w:noProof/>
          <w:color w:val="FF0000"/>
          <w:lang w:val="en-GB" w:eastAsia="en-GB"/>
        </w:rPr>
        <w:pict>
          <v:shape id="Bent Arrow 9" o:spid="_x0000_s1059" style="position:absolute;left:0;text-align:left;margin-left:156.25pt;margin-top:12.8pt;width:29.85pt;height:69.25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9095,879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" path="m,879475l,213241c,121642,74255,47387,165854,47387r118467,l284321,r94774,94774l284321,189548r,-47387l165854,142161v-39256,,-71080,31824,-71080,71080l94774,879475,,879475xe" fillcolor="window" strokecolor="windowText" strokeweight=".25pt">
            <v:path arrowok="t" o:connecttype="custom" o:connectlocs="0,879475;0,213241;165854,47387;284321,47387;284321,0;379095,94774;284321,189548;284321,142161;165854,142161;94774,213241;94774,879475;0,879475" o:connectangles="0,0,0,0,0,0,0,0,0,0,0,0"/>
          </v:shape>
        </w:pict>
      </w:r>
    </w:p>
    <w:p w:rsidR="00CD411E" w:rsidRPr="0063725A" w:rsidRDefault="00D521E1" w:rsidP="00CD411E">
      <w:pPr>
        <w:tabs>
          <w:tab w:val="right" w:leader="dot" w:pos="7938"/>
        </w:tabs>
        <w:spacing w:after="0" w:line="360" w:lineRule="auto"/>
        <w:jc w:val="both"/>
        <w:rPr>
          <w:rFonts w:ascii="Book Antiqua" w:eastAsia="Times New Roman" w:hAnsi="Book Antiqua" w:cs="Arial"/>
          <w:color w:val="FF0000"/>
        </w:rPr>
      </w:pPr>
      <w:r w:rsidRPr="00D521E1">
        <w:rPr>
          <w:rFonts w:ascii="Book Antiqua" w:eastAsia="Times New Roman" w:hAnsi="Book Antiqua" w:cs="Arial"/>
          <w:noProof/>
          <w:color w:val="FF0000"/>
          <w:lang w:val="en-GB" w:eastAsia="en-GB"/>
        </w:rPr>
        <w:pict>
          <v:shapetype id="_x0000_t202" coordsize="21600,21600" o:spt="202" path="m,l,21600r21600,l21600,xe">
            <v:stroke joinstyle="miter"/>
            <v:path gradientshapeok="t" o:connecttype="rect"/>
          </v:shapetype>
          <v:shape id="Text Box 16" o:spid="_x0000_s1055" type="#_x0000_t202" style="position:absolute;left:0;text-align:left;margin-left:272.45pt;margin-top:.65pt;width:132.3pt;height:40.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" fillcolor="window" strokeweight=".5pt">
            <v:textbox>
              <w:txbxContent>
                <w:p w:rsidR="004E75CF" w:rsidRPr="00932262" w:rsidRDefault="004E75CF" w:rsidP="00CD411E">
                  <w:pPr>
                    <w:jc w:val="center"/>
                    <w:rPr>
                      <w:rFonts w:ascii="Arial" w:hAnsi="Arial" w:cs="Arial"/>
                      <w:sz w:val="20"/>
                      <w:szCs w:val="20"/>
                    </w:rPr>
                  </w:pPr>
                  <w:r>
                    <w:rPr>
                      <w:rFonts w:ascii="Arial" w:hAnsi="Arial" w:cs="Arial"/>
                      <w:sz w:val="20"/>
                      <w:szCs w:val="20"/>
                    </w:rPr>
                    <w:t>As</w:t>
                  </w:r>
                  <w:r w:rsidRPr="00DC0820">
                    <w:rPr>
                      <w:rFonts w:ascii="Book Antiqua" w:hAnsi="Book Antiqua"/>
                      <w:color w:val="000000" w:themeColor="text1"/>
                      <w:shd w:val="clear" w:color="auto" w:fill="FFFFFF" w:themeFill="background1"/>
                    </w:rPr>
                    <w:t xml:space="preserve"> </w:t>
                  </w:r>
                  <w:r>
                    <w:rPr>
                      <w:rFonts w:ascii="Book Antiqua" w:hAnsi="Book Antiqua"/>
                      <w:color w:val="000000" w:themeColor="text1"/>
                      <w:shd w:val="clear" w:color="auto" w:fill="FFFFFF" w:themeFill="background1"/>
                    </w:rPr>
                    <w:t xml:space="preserve">Politik </w:t>
                  </w:r>
                  <w:r>
                    <w:rPr>
                      <w:rFonts w:ascii="Arial" w:hAnsi="Arial" w:cs="Arial"/>
                      <w:sz w:val="20"/>
                      <w:szCs w:val="20"/>
                    </w:rPr>
                    <w:t>pek agama</w:t>
                  </w:r>
                </w:p>
              </w:txbxContent>
            </v:textbox>
          </v:shape>
        </w:pict>
      </w:r>
      <w:r w:rsidRPr="00D521E1">
        <w:rPr>
          <w:rFonts w:ascii="Book Antiqua" w:eastAsia="Times New Roman" w:hAnsi="Book Antiqua" w:cs="Arial"/>
          <w:noProof/>
          <w:color w:val="FF0000"/>
          <w:lang w:val="en-GB" w:eastAsia="en-GB"/>
        </w:rPr>
        <w:pict>
          <v:shape id="Text Box 21" o:spid="_x0000_s1054" type="#_x0000_t202" style="position:absolute;left:0;text-align:left;margin-left:6.2pt;margin-top:.65pt;width:129.75pt;height:40.2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" fillcolor="window" strokeweight=".5pt">
            <v:textbox>
              <w:txbxContent>
                <w:p w:rsidR="004E75CF" w:rsidRPr="00932262" w:rsidRDefault="004E75CF" w:rsidP="00DC0820">
                  <w:pPr>
                    <w:jc w:val="center"/>
                  </w:pPr>
                  <w:r w:rsidRPr="00DC0820">
                    <w:rPr>
                      <w:rFonts w:ascii="Book Antiqua" w:hAnsi="Book Antiqua"/>
                      <w:color w:val="000000" w:themeColor="text1"/>
                      <w:shd w:val="clear" w:color="auto" w:fill="FFFFFF" w:themeFill="background1"/>
                    </w:rPr>
                    <w:t xml:space="preserve">Sosial </w:t>
                  </w:r>
                  <w:r w:rsidRPr="00DC0820">
                    <w:rPr>
                      <w:rFonts w:ascii="Book Antiqua" w:hAnsi="Book Antiqua"/>
                    </w:rPr>
                    <w:t xml:space="preserve"> </w:t>
                  </w:r>
                  <w:r w:rsidRPr="00932262">
                    <w:t>mi</w:t>
                  </w:r>
                </w:p>
              </w:txbxContent>
            </v:textbox>
          </v:shape>
        </w:pict>
      </w: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D521E1" w:rsidP="00CD411E">
      <w:pPr>
        <w:tabs>
          <w:tab w:val="right" w:leader="dot" w:pos="7938"/>
        </w:tabs>
        <w:spacing w:after="0" w:line="360" w:lineRule="auto"/>
        <w:jc w:val="both"/>
        <w:rPr>
          <w:rFonts w:ascii="Book Antiqua" w:eastAsia="Times New Roman" w:hAnsi="Book Antiqua" w:cs="Arial"/>
          <w:color w:val="FF0000"/>
        </w:rPr>
      </w:pPr>
      <w:r w:rsidRPr="00D521E1">
        <w:rPr>
          <w:rFonts w:ascii="Book Antiqua" w:eastAsia="Times New Roman" w:hAnsi="Book Antiqua" w:cs="Arial"/>
          <w:noProof/>
          <w:color w:val="FF0000"/>
          <w:lang w:val="en-GB" w:eastAsia="en-GB"/>
        </w:rPr>
        <w:pict>
          <v:shape id="Bent Arrow 17" o:spid="_x0000_s1061" style="position:absolute;left:0;text-align:left;margin-left:289.2pt;margin-top:5.5pt;width:59.25pt;height:29.2pt;rotation:18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52475,37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" path="m,370841l,208598c,118994,72639,46355,162243,46355r497522,l659765,r92710,92710l659765,185421r,-46356l162243,139065v-38402,,-69533,31131,-69533,69533l92710,370841,,370841xe" fillcolor="window" strokecolor="windowText" strokeweight=".5pt">
            <v:path arrowok="t" o:connecttype="custom" o:connectlocs="0,370841;0,208598;162243,46355;659765,46355;659765,0;752475,92710;659765,185421;659765,139065;162243,139065;92710,208598;92710,370841;0,370841" o:connectangles="0,0,0,0,0,0,0,0,0,0,0,0"/>
          </v:shape>
        </w:pict>
      </w:r>
      <w:r w:rsidRPr="00D521E1">
        <w:rPr>
          <w:rFonts w:ascii="Book Antiqua" w:eastAsia="Times New Roman" w:hAnsi="Book Antiqua" w:cs="Arial"/>
          <w:noProof/>
          <w:color w:val="FF0000"/>
          <w:lang w:val="en-GB" w:eastAsia="en-GB"/>
        </w:rPr>
        <w:pict>
          <v:shape id="Text Box 36" o:spid="_x0000_s1058" type="#_x0000_t202" style="position:absolute;left:0;text-align:left;margin-left:122.55pt;margin-top:10.75pt;width:161.55pt;height:51.0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" fillcolor="window" strokeweight=".5pt">
            <v:textbox>
              <w:txbxContent>
                <w:p w:rsidR="004E75CF" w:rsidRDefault="004E75CF" w:rsidP="00DC0820">
                  <w:pPr>
                    <w:spacing w:after="0" w:line="240" w:lineRule="auto"/>
                    <w:rPr>
                      <w:rFonts w:ascii="Arial" w:hAnsi="Arial" w:cs="Arial"/>
                      <w:sz w:val="20"/>
                      <w:szCs w:val="20"/>
                    </w:rPr>
                  </w:pPr>
                  <w:r w:rsidRPr="00932262">
                    <w:rPr>
                      <w:rFonts w:ascii="Arial" w:hAnsi="Arial" w:cs="Arial"/>
                      <w:sz w:val="20"/>
                      <w:szCs w:val="20"/>
                    </w:rPr>
                    <w:t xml:space="preserve"> sebagai </w:t>
                  </w:r>
                  <w:r>
                    <w:rPr>
                      <w:rFonts w:ascii="Arial" w:hAnsi="Arial" w:cs="Arial"/>
                      <w:sz w:val="20"/>
                      <w:szCs w:val="20"/>
                    </w:rPr>
                    <w:t>kebiasaan perilyang aje</w:t>
                  </w:r>
                </w:p>
                <w:p w:rsidR="004E75CF" w:rsidRDefault="004E75CF" w:rsidP="00DC0820">
                  <w:pPr>
                    <w:spacing w:after="0" w:line="240" w:lineRule="auto"/>
                    <w:jc w:val="center"/>
                    <w:rPr>
                      <w:rFonts w:ascii="Book Antiqua" w:hAnsi="Book Antiqua"/>
                    </w:rPr>
                  </w:pPr>
                  <w:r>
                    <w:rPr>
                      <w:rFonts w:ascii="Arial" w:hAnsi="Arial" w:cs="Arial"/>
                      <w:sz w:val="20"/>
                      <w:szCs w:val="20"/>
                    </w:rPr>
                    <w:t>erl</w:t>
                  </w:r>
                  <w:r>
                    <w:rPr>
                      <w:rFonts w:ascii="Book Antiqua" w:hAnsi="Book Antiqua"/>
                      <w:color w:val="000000" w:themeColor="text1"/>
                      <w:shd w:val="clear" w:color="auto" w:fill="FFFFFF" w:themeFill="background1"/>
                    </w:rPr>
                    <w:t>Empirism</w:t>
                  </w:r>
                </w:p>
                <w:p w:rsidR="004E75CF" w:rsidRDefault="004E75CF" w:rsidP="00DC0820">
                  <w:pPr>
                    <w:spacing w:after="0" w:line="240" w:lineRule="auto"/>
                    <w:rPr>
                      <w:rFonts w:ascii="Book Antiqua" w:hAnsi="Book Antiqua"/>
                    </w:rPr>
                  </w:pPr>
                </w:p>
                <w:p w:rsidR="004E75CF" w:rsidRPr="00932262" w:rsidRDefault="004E75CF" w:rsidP="00DC0820">
                  <w:pPr>
                    <w:spacing w:after="0" w:line="240" w:lineRule="auto"/>
                    <w:rPr>
                      <w:rFonts w:ascii="Arial" w:hAnsi="Arial" w:cs="Arial"/>
                      <w:sz w:val="20"/>
                      <w:szCs w:val="20"/>
                    </w:rPr>
                  </w:pPr>
                  <w:r w:rsidRPr="00932262">
                    <w:rPr>
                      <w:rFonts w:ascii="Arial" w:hAnsi="Arial" w:cs="Arial"/>
                      <w:sz w:val="20"/>
                      <w:szCs w:val="20"/>
                    </w:rPr>
                    <w:t>ecara sosial</w:t>
                  </w:r>
                </w:p>
              </w:txbxContent>
            </v:textbox>
          </v:shape>
        </w:pict>
      </w:r>
    </w:p>
    <w:p w:rsidR="00CD411E" w:rsidRPr="0063725A" w:rsidRDefault="00D521E1" w:rsidP="00CD411E">
      <w:pPr>
        <w:tabs>
          <w:tab w:val="right" w:leader="dot" w:pos="7938"/>
        </w:tabs>
        <w:spacing w:after="0" w:line="360" w:lineRule="auto"/>
        <w:jc w:val="both"/>
        <w:rPr>
          <w:rFonts w:ascii="Book Antiqua" w:eastAsia="Times New Roman" w:hAnsi="Book Antiqua" w:cs="Arial"/>
          <w:color w:val="FF0000"/>
        </w:rPr>
      </w:pPr>
      <w:r w:rsidRPr="00D521E1">
        <w:rPr>
          <w:rFonts w:ascii="Book Antiqua" w:eastAsia="Times New Roman" w:hAnsi="Book Antiqua" w:cs="Arial"/>
          <w:noProof/>
          <w:color w:val="FF0000"/>
          <w:lang w:val="en-GB" w:eastAsia="en-GB"/>
        </w:rPr>
        <w:pict>
          <v:shape id="Bent Arrow 38" o:spid="_x0000_s1062" style="position:absolute;left:0;text-align:left;margin-left:58.95pt;margin-top:13pt;width:58.5pt;height:3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2950,407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" path="m,407034l,228957c,130608,79728,50880,178077,50880r463115,-1l641192,,742950,101759,641192,203517r,-50879l178077,152638v-42150,,-76319,34169,-76319,76319c101758,288316,101759,347675,101759,407034l,407034xe" fillcolor="window" strokecolor="windowText" strokeweight=".5pt">
            <v:path arrowok="t" o:connecttype="custom" o:connectlocs="0,407034;0,228957;178077,50880;641192,50879;641192,0;742950,101759;641192,203517;641192,152638;178077,152638;101758,228957;101759,407034;0,407034" o:connectangles="0,0,0,0,0,0,0,0,0,0,0,0"/>
          </v:shape>
        </w:pict>
      </w:r>
    </w:p>
    <w:p w:rsidR="00CD411E" w:rsidRPr="0063725A" w:rsidRDefault="00D521E1" w:rsidP="00CD411E">
      <w:pPr>
        <w:tabs>
          <w:tab w:val="right" w:leader="dot" w:pos="7938"/>
        </w:tabs>
        <w:spacing w:after="0" w:line="360" w:lineRule="auto"/>
        <w:jc w:val="both"/>
        <w:rPr>
          <w:rFonts w:ascii="Book Antiqua" w:eastAsia="Times New Roman" w:hAnsi="Book Antiqua" w:cs="Arial"/>
          <w:color w:val="FF0000"/>
        </w:rPr>
      </w:pPr>
      <w:r w:rsidRPr="00D521E1">
        <w:rPr>
          <w:rFonts w:ascii="Book Antiqua" w:eastAsia="Times New Roman" w:hAnsi="Book Antiqua" w:cs="Arial"/>
          <w:noProof/>
          <w:color w:val="FF0000"/>
          <w:lang w:val="en-GB" w:eastAsia="en-GB"/>
        </w:rPr>
        <w:pict>
          <v:shape id="Bent Arrow 44" o:spid="_x0000_s1060" style="position:absolute;left:0;text-align:left;margin-left:225.95pt;margin-top:3.8pt;width:27.05pt;height:71.35pt;rotation:-9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3536,90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" path="m,906145l,193239c,110232,67290,42942,150297,42942r107355,l257652,r85884,85884l257652,171768r,-42942l150297,128826v-35574,,-64413,28839,-64413,64413l85884,906145,,906145xe" fillcolor="window" strokecolor="windowText" strokeweight=".5pt">
            <v:path arrowok="t" o:connecttype="custom" o:connectlocs="0,906145;0,193239;150297,42942;257652,42942;257652,0;343536,85884;257652,171768;257652,128826;150297,128826;85884,193239;85884,906145;0,906145" o:connectangles="0,0,0,0,0,0,0,0,0,0,0,0"/>
          </v:shape>
        </w:pict>
      </w:r>
    </w:p>
    <w:p w:rsidR="00CD411E" w:rsidRPr="0063725A" w:rsidRDefault="00D521E1" w:rsidP="00CD411E">
      <w:pPr>
        <w:tabs>
          <w:tab w:val="right" w:leader="dot" w:pos="7938"/>
        </w:tabs>
        <w:spacing w:after="0" w:line="360" w:lineRule="auto"/>
        <w:jc w:val="both"/>
        <w:rPr>
          <w:rFonts w:ascii="Book Antiqua" w:eastAsia="Times New Roman" w:hAnsi="Book Antiqua" w:cs="Arial"/>
          <w:color w:val="FF0000"/>
        </w:rPr>
      </w:pPr>
      <w:r w:rsidRPr="00D521E1">
        <w:rPr>
          <w:rFonts w:ascii="Book Antiqua" w:eastAsia="Times New Roman" w:hAnsi="Book Antiqua" w:cs="Arial"/>
          <w:noProof/>
          <w:color w:val="FF0000"/>
          <w:lang w:val="en-GB" w:eastAsia="en-GB"/>
        </w:rPr>
        <w:pict>
          <v:shape id="Text Box 45" o:spid="_x0000_s1057" type="#_x0000_t202" style="position:absolute;left:0;text-align:left;margin-left:276.15pt;margin-top:9.6pt;width:132.25pt;height:36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" fillcolor="window" strokeweight=".5pt">
            <v:textbox>
              <w:txbxContent>
                <w:p w:rsidR="004E75CF" w:rsidRPr="00932262" w:rsidRDefault="004E75CF" w:rsidP="00CD411E">
                  <w:pPr>
                    <w:jc w:val="center"/>
                    <w:rPr>
                      <w:rFonts w:ascii="Arial" w:hAnsi="Arial" w:cs="Arial"/>
                      <w:sz w:val="20"/>
                      <w:szCs w:val="20"/>
                    </w:rPr>
                  </w:pPr>
                  <w:r w:rsidRPr="00932262">
                    <w:rPr>
                      <w:rFonts w:ascii="Arial" w:hAnsi="Arial" w:cs="Arial"/>
                      <w:sz w:val="20"/>
                      <w:szCs w:val="20"/>
                    </w:rPr>
                    <w:t>Aspe</w:t>
                  </w:r>
                  <w:r w:rsidRPr="00DC0820">
                    <w:rPr>
                      <w:rFonts w:ascii="Book Antiqua" w:hAnsi="Book Antiqua"/>
                      <w:color w:val="000000" w:themeColor="text1"/>
                      <w:shd w:val="clear" w:color="auto" w:fill="FFFFFF" w:themeFill="background1"/>
                    </w:rPr>
                    <w:t xml:space="preserve"> </w:t>
                  </w:r>
                  <w:r>
                    <w:rPr>
                      <w:rFonts w:ascii="Book Antiqua" w:hAnsi="Book Antiqua"/>
                      <w:color w:val="000000" w:themeColor="text1"/>
                      <w:shd w:val="clear" w:color="auto" w:fill="FFFFFF" w:themeFill="background1"/>
                    </w:rPr>
                    <w:t xml:space="preserve">Budaya </w:t>
                  </w:r>
                  <w:r w:rsidRPr="00932262">
                    <w:rPr>
                      <w:rFonts w:ascii="Arial" w:hAnsi="Arial" w:cs="Arial"/>
                      <w:sz w:val="20"/>
                      <w:szCs w:val="20"/>
                    </w:rPr>
                    <w:t>k sosial lainnya</w:t>
                  </w:r>
                </w:p>
              </w:txbxContent>
            </v:textbox>
          </v:shape>
        </w:pict>
      </w:r>
      <w:r w:rsidRPr="00D521E1">
        <w:rPr>
          <w:rFonts w:ascii="Book Antiqua" w:eastAsia="Times New Roman" w:hAnsi="Book Antiqua" w:cs="Arial"/>
          <w:noProof/>
          <w:color w:val="FF0000"/>
          <w:lang w:val="en-GB" w:eastAsia="en-GB"/>
        </w:rPr>
        <w:pict>
          <v:shape id="Text Box 49" o:spid="_x0000_s1056" type="#_x0000_t202" style="position:absolute;left:0;text-align:left;margin-left:6.2pt;margin-top:9.6pt;width:129.75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" fillcolor="window" strokeweight=".5pt">
            <v:textbox>
              <w:txbxContent>
                <w:p w:rsidR="004E75CF" w:rsidRDefault="004E75CF" w:rsidP="00CD411E">
                  <w:pPr>
                    <w:spacing w:after="0" w:line="240" w:lineRule="auto"/>
                    <w:jc w:val="center"/>
                    <w:rPr>
                      <w:rFonts w:ascii="Arial" w:hAnsi="Arial" w:cs="Arial"/>
                      <w:sz w:val="20"/>
                      <w:szCs w:val="20"/>
                    </w:rPr>
                  </w:pPr>
                  <w:r>
                    <w:rPr>
                      <w:rFonts w:ascii="Arial" w:hAnsi="Arial" w:cs="Arial"/>
                      <w:sz w:val="20"/>
                      <w:szCs w:val="20"/>
                    </w:rPr>
                    <w:t>Aspek politik</w:t>
                  </w:r>
                </w:p>
                <w:p w:rsidR="004E75CF" w:rsidRPr="00932262" w:rsidRDefault="004E75CF" w:rsidP="00CD411E">
                  <w:pPr>
                    <w:spacing w:after="0" w:line="240" w:lineRule="auto"/>
                    <w:jc w:val="center"/>
                    <w:rPr>
                      <w:rFonts w:ascii="Arial" w:hAnsi="Arial" w:cs="Arial"/>
                      <w:sz w:val="20"/>
                      <w:szCs w:val="20"/>
                    </w:rPr>
                  </w:pPr>
                  <w:r>
                    <w:rPr>
                      <w:rFonts w:ascii="Book Antiqua" w:hAnsi="Book Antiqua"/>
                      <w:color w:val="000000" w:themeColor="text1"/>
                      <w:shd w:val="clear" w:color="auto" w:fill="FFFFFF" w:themeFill="background1"/>
                    </w:rPr>
                    <w:t xml:space="preserve">Ekonomi </w:t>
                  </w:r>
                </w:p>
              </w:txbxContent>
            </v:textbox>
          </v:shape>
        </w:pict>
      </w: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CD411E" w:rsidP="00CD411E">
      <w:pPr>
        <w:tabs>
          <w:tab w:val="right" w:leader="dot" w:pos="7938"/>
        </w:tabs>
        <w:spacing w:after="0" w:line="360" w:lineRule="auto"/>
        <w:jc w:val="both"/>
        <w:rPr>
          <w:rFonts w:ascii="Book Antiqua" w:eastAsia="Times New Roman" w:hAnsi="Book Antiqua" w:cs="Arial"/>
          <w:color w:val="FF0000"/>
        </w:rPr>
      </w:pPr>
    </w:p>
    <w:p w:rsidR="00CD411E" w:rsidRPr="0063725A" w:rsidRDefault="00CD411E" w:rsidP="00CD411E">
      <w:pPr>
        <w:tabs>
          <w:tab w:val="right" w:leader="dot" w:pos="7938"/>
        </w:tabs>
        <w:spacing w:after="0" w:line="240" w:lineRule="auto"/>
        <w:jc w:val="both"/>
        <w:rPr>
          <w:rFonts w:ascii="Book Antiqua" w:hAnsi="Book Antiqua" w:cs="Arial"/>
          <w:color w:val="FF0000"/>
        </w:rPr>
      </w:pP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 xml:space="preserve">          Epistemologi ilmu hukum yang dikembangkan dengan sarana penalaran indera sebagaimana telah dijelaskan dalam mahzab sejarah hukum memiliki objek utama tradisi kebiasaan masyarakat. Objek hukum tersebut dalam ilmu hukum sering disebut sebagai data primer. Data primer adalah data yang diperoleh dari kajian hukum empiris yang dilakukan secara langsung di masyarakat. Data primer yang diperoleh dari hasil kajian empiris di masyarakat dapat dipahami sebagai data yang mengandung nilai kebenaran nyata. Hal ini sesuai dengan cara pandang mahzab sejarah hukum yang memahami hukum sebagai bagian dari pergaulan hidup manusia yang terwujud dalam bentuk tradisi atau kebiasaan masyarakat. Data yang berupa perilaku manusia dengan ciri-cirinya yang mencakup perilaku verbal maupun perilaku nyata, termasuk hasil dari perilaku memiliki ciri-ciri seperti peninggalan fisik, bahan-bahan tertulis dan data hasil suatu simulasi terhadap objek hukum riil di masyarakat.</w:t>
      </w:r>
    </w:p>
    <w:p w:rsidR="00CD411E" w:rsidRPr="0063725A" w:rsidRDefault="001F77CE" w:rsidP="00CD411E">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CD411E" w:rsidRPr="0063725A">
        <w:rPr>
          <w:rFonts w:ascii="Book Antiqua" w:hAnsi="Book Antiqua" w:cs="Arial"/>
          <w:sz w:val="24"/>
          <w:szCs w:val="24"/>
        </w:rPr>
        <w:t xml:space="preserve">Dalam ilmu hukum yang memiliki objek utama berupa kebiasaan dalam pergaulan masyarakat, maka tempat atau lokasi diperolehnya data berada di dalam masyarakat itu sendiri. Setiap permasalahan hukum dalam kehidupan masyarakat memiliki cirikhas karakter tersendiri yang tentu bersumber dari tempat yang berbeda, sehingga penting untuk melihat tempat dimana data atau objek hukum tersebut dapat diperoleh dengan baik. Latar belakang pemilihan tempat penggalian data yang bersifat empiris mengandung kesesuaian dengan keabsahan nilai kebenaran yang diinginkan, karena kebiasaan dalam pergaulan hidup masyarakat sebagai fakta hukum menurut pandangan mahzab sejarah hukum akan selalu mengikuti keberadaan dimana objek hukum itu ada. Oleh karena itu, tidak jarang </w:t>
      </w:r>
      <w:r w:rsidR="00CD411E" w:rsidRPr="0063725A">
        <w:rPr>
          <w:rFonts w:ascii="Book Antiqua" w:hAnsi="Book Antiqua" w:cs="Arial"/>
          <w:sz w:val="24"/>
          <w:szCs w:val="24"/>
        </w:rPr>
        <w:lastRenderedPageBreak/>
        <w:t xml:space="preserve">jika lokasi atau tempat diketemukannya objek hukum sering disebut dengan istilah lapangan, hal ini terkait dengan cara memperolehnya yang dilakukan identik dengan kegiatan masyarakat yang berada di suatu wilayah tertentu. Tempat diperolehnya data biasanya dibatasi oleh suatu kelompok atau komunitas tertentu dalam kehidupan sosial masyarakat, sehingga peran tempat dalam melihat objek hukum memiliki peran cukup penting untuk menentukan akurasi data yang dihasilkan.  </w:t>
      </w:r>
    </w:p>
    <w:p w:rsidR="00CD411E" w:rsidRPr="0063725A" w:rsidRDefault="00CD411E" w:rsidP="00CD411E">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b. Metode penalaran epistemologi ilmu hukum dengan sarana penalaran indera</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 xml:space="preserve">          Untuk memahami epistemologi ilmu hukum yang dikembangkan dengan sarana penalaran indera dengan objek berupa tradisi kebiasaan dalam masyarakat pada tahap awal dilakukan dengan proses penggalian data di lapangan. </w:t>
      </w:r>
      <w:r w:rsidRPr="0063725A">
        <w:rPr>
          <w:rFonts w:ascii="Book Antiqua" w:hAnsi="Book Antiqua" w:cs="Arial"/>
          <w:sz w:val="24"/>
          <w:szCs w:val="24"/>
        </w:rPr>
        <w:t xml:space="preserve">Data yang memiliki objek hukum tradisi kebiasaan masyarakat tersebut dapat diperoleh melalui tiga cara atau teknik, yaitu; wawancara, angket dan obsevasi. Wawancara merupakan kegiatan yang dimaksudkan untuk melakukan tanya jawab secara langsung antara pengkaji yang ingan memperoleh kebenaran empiris denganresponden yang merupakan informan untuk mendapatkan pengetahuan yang diinginkan. Melalui wawancara akan diperoleh informasi secara langsung dengan objek yang sedang dikaji. Wawancara dapat dilakukan dengan menggunakan panduan daftar pertanyaan sesuai dengan permasalahan yang sedang dikaji. Dalam dunia sosial, wawancara merupakan suatu proses yang menjelaskan tentang adanya interaksi dan komunikasi. Terdapat beberapa hal penting dalam proses wawancara yang dapat mempengaruhi hasil yang diinginkan, yaitu pewewancara, narasumber, tema yang dibahas dan situasi pada saat </w:t>
      </w:r>
      <w:r w:rsidRPr="0063725A">
        <w:rPr>
          <w:rFonts w:ascii="Book Antiqua" w:hAnsi="Book Antiqua" w:cs="Arial"/>
          <w:sz w:val="24"/>
          <w:szCs w:val="24"/>
        </w:rPr>
        <w:lastRenderedPageBreak/>
        <w:t xml:space="preserve">melakukan wawancara. Wawancara memiliki keunggulan dalam memperoleh pengetahuan: </w:t>
      </w:r>
      <w:r w:rsidRPr="0063725A">
        <w:rPr>
          <w:rFonts w:ascii="Book Antiqua" w:hAnsi="Book Antiqua" w:cs="Arial"/>
          <w:i/>
          <w:sz w:val="24"/>
          <w:szCs w:val="24"/>
        </w:rPr>
        <w:t>pertama</w:t>
      </w:r>
      <w:r w:rsidRPr="0063725A">
        <w:rPr>
          <w:rFonts w:ascii="Book Antiqua" w:hAnsi="Book Antiqua" w:cs="Arial"/>
          <w:sz w:val="24"/>
          <w:szCs w:val="24"/>
        </w:rPr>
        <w:t xml:space="preserve">, dapat bertemu langsung dengan narasumber, sehingga informasi yang diperoleh dapat secara langsung dan lebih bernilai orisinil; </w:t>
      </w:r>
      <w:r w:rsidRPr="0063725A">
        <w:rPr>
          <w:rFonts w:ascii="Book Antiqua" w:hAnsi="Book Antiqua" w:cs="Arial"/>
          <w:i/>
          <w:sz w:val="24"/>
          <w:szCs w:val="24"/>
        </w:rPr>
        <w:t>kedua</w:t>
      </w:r>
      <w:r w:rsidRPr="0063725A">
        <w:rPr>
          <w:rFonts w:ascii="Book Antiqua" w:hAnsi="Book Antiqua" w:cs="Arial"/>
          <w:sz w:val="24"/>
          <w:szCs w:val="24"/>
        </w:rPr>
        <w:t xml:space="preserve">, dapat diperoleh informasi yang diinginkan dengan segera setelah ada jawaban dari narasumber, karena jawaban narasumber merupakan data yang mengandung kebenaran informasi yang sedang digali; </w:t>
      </w:r>
      <w:r w:rsidRPr="0063725A">
        <w:rPr>
          <w:rFonts w:ascii="Book Antiqua" w:hAnsi="Book Antiqua" w:cs="Arial"/>
          <w:i/>
          <w:sz w:val="24"/>
          <w:szCs w:val="24"/>
        </w:rPr>
        <w:t>ketiga</w:t>
      </w:r>
      <w:r w:rsidRPr="0063725A">
        <w:rPr>
          <w:rFonts w:ascii="Book Antiqua" w:hAnsi="Book Antiqua" w:cs="Arial"/>
          <w:sz w:val="24"/>
          <w:szCs w:val="24"/>
        </w:rPr>
        <w:t xml:space="preserve">, dapat melakukan kajian yang lebih cepat apabila segala informasi yang diperlukan telah dipersiapkan, karena semua tergantung dari kelengkapan data yang diperoleh, sehingga semakin lengkap data yang dipersiapkan maka semakin baik dan cepat mendapatkan informasi yang diinginkan; </w:t>
      </w:r>
      <w:r w:rsidRPr="0063725A">
        <w:rPr>
          <w:rFonts w:ascii="Book Antiqua" w:hAnsi="Book Antiqua" w:cs="Arial"/>
          <w:i/>
          <w:sz w:val="24"/>
          <w:szCs w:val="24"/>
        </w:rPr>
        <w:t>keempat</w:t>
      </w:r>
      <w:r w:rsidRPr="0063725A">
        <w:rPr>
          <w:rFonts w:ascii="Book Antiqua" w:hAnsi="Book Antiqua" w:cs="Arial"/>
          <w:sz w:val="24"/>
          <w:szCs w:val="24"/>
        </w:rPr>
        <w:t xml:space="preserve">, adanya keleluasaan untuk mengganti pertanyaan yang kurang relevanguna untuk mendapat informasi pengetahuan yang lebih jelas. Namun demikian teknik wawancara juga memiliki kelemahan-kelemahan seperti: </w:t>
      </w:r>
      <w:r w:rsidRPr="0063725A">
        <w:rPr>
          <w:rFonts w:ascii="Book Antiqua" w:hAnsi="Book Antiqua" w:cs="Arial"/>
          <w:i/>
          <w:sz w:val="24"/>
          <w:szCs w:val="24"/>
        </w:rPr>
        <w:t>pertama</w:t>
      </w:r>
      <w:r w:rsidRPr="0063725A">
        <w:rPr>
          <w:rFonts w:ascii="Book Antiqua" w:hAnsi="Book Antiqua" w:cs="Arial"/>
          <w:sz w:val="24"/>
          <w:szCs w:val="24"/>
        </w:rPr>
        <w:t xml:space="preserve">, memiliki sifat ketergantungan cukup tinggi pada narasumber, karena harus mengikuti kapan narasumber dapat dimintai untuk melakukan tanya jawab dan informsi yang disampaikan oleh narasumber harus dipahami sebagai pengetahuan benar sebelum dapat dikroscekkan dengan informsi yang lain; </w:t>
      </w:r>
      <w:r w:rsidRPr="0063725A">
        <w:rPr>
          <w:rFonts w:ascii="Book Antiqua" w:hAnsi="Book Antiqua" w:cs="Arial"/>
          <w:i/>
          <w:sz w:val="24"/>
          <w:szCs w:val="24"/>
        </w:rPr>
        <w:t>kedua</w:t>
      </w:r>
      <w:r w:rsidRPr="0063725A">
        <w:rPr>
          <w:rFonts w:ascii="Book Antiqua" w:hAnsi="Book Antiqua" w:cs="Arial"/>
          <w:sz w:val="24"/>
          <w:szCs w:val="24"/>
        </w:rPr>
        <w:t xml:space="preserve">, adanya keterbatasan waktu untuk melakukan penggalian lebih dalam, sehingga hal ini mempengaruhi data yang diperoleh kurang maksimal; </w:t>
      </w:r>
      <w:r w:rsidRPr="0063725A">
        <w:rPr>
          <w:rFonts w:ascii="Book Antiqua" w:hAnsi="Book Antiqua" w:cs="Arial"/>
          <w:i/>
          <w:sz w:val="24"/>
          <w:szCs w:val="24"/>
        </w:rPr>
        <w:t>ketiga</w:t>
      </w:r>
      <w:r w:rsidRPr="0063725A">
        <w:rPr>
          <w:rFonts w:ascii="Book Antiqua" w:hAnsi="Book Antiqua" w:cs="Arial"/>
          <w:sz w:val="24"/>
          <w:szCs w:val="24"/>
        </w:rPr>
        <w:t>, hasil informasi yang diinginkan sangat dipengaruhi oleh keadaan situasi dan kondisi pada saat proses wawancara dilakukan.</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Angket atau kuesioner adalah teknik pengumpulan data yang dilakukan dengan cara membagi beberapa list daftar pertanyaan yang telah dibuat kepada narasumber.Metode kuesioner dapat digunakan untuk membantu hukum dalam </w:t>
      </w:r>
      <w:r w:rsidRPr="0063725A">
        <w:rPr>
          <w:rFonts w:ascii="Book Antiqua" w:hAnsi="Book Antiqua" w:cs="Arial"/>
          <w:sz w:val="24"/>
          <w:szCs w:val="24"/>
        </w:rPr>
        <w:lastRenderedPageBreak/>
        <w:t>menggali dan memperoleh data-data di lapangan, sehingga kuesioner menurut Marta M. Chlistunoffmenjadi salah satu metode yang penting dalam bidang hukum.</w:t>
      </w:r>
      <w:r w:rsidRPr="0063725A">
        <w:rPr>
          <w:rStyle w:val="FootnoteReference"/>
          <w:rFonts w:ascii="Book Antiqua" w:hAnsi="Book Antiqua" w:cs="Arial"/>
          <w:sz w:val="24"/>
          <w:szCs w:val="24"/>
        </w:rPr>
        <w:footnoteReference w:id="102"/>
      </w:r>
      <w:r w:rsidRPr="0063725A">
        <w:rPr>
          <w:rFonts w:ascii="Book Antiqua" w:hAnsi="Book Antiqua" w:cs="Arial"/>
          <w:sz w:val="24"/>
          <w:szCs w:val="24"/>
        </w:rPr>
        <w:t xml:space="preserve">Beberapa cara dapat dilakukan untuk melakukan angket, seperti wawancara langsung dengan narasumber yang diikuti dengan narasumber mengisi jawaban pertanyaan atau wawancara secara tidak langsung karena tidak bertemu langsung dengan narasumber yang mana list daftar jawabannya diberikan dikemudian hari atau melalui media elektronik di dunia maya. Teknik pengumpulan data dengan angket memiliki beberapa keunggulan: </w:t>
      </w:r>
      <w:r w:rsidRPr="0063725A">
        <w:rPr>
          <w:rFonts w:ascii="Book Antiqua" w:hAnsi="Book Antiqua" w:cs="Arial"/>
          <w:i/>
          <w:sz w:val="24"/>
          <w:szCs w:val="24"/>
        </w:rPr>
        <w:t>pertama</w:t>
      </w:r>
      <w:r w:rsidRPr="0063725A">
        <w:rPr>
          <w:rFonts w:ascii="Book Antiqua" w:hAnsi="Book Antiqua" w:cs="Arial"/>
          <w:sz w:val="24"/>
          <w:szCs w:val="24"/>
        </w:rPr>
        <w:t xml:space="preserve">, dapat mengarahkan jawaban yang akan kita inginkan dengan membuat beberapa pilihan pertanyaan yang telah ditentukan batas-batas kesesuaian atau tidaknya dengan tema permasalahan; </w:t>
      </w:r>
      <w:r w:rsidRPr="0063725A">
        <w:rPr>
          <w:rFonts w:ascii="Book Antiqua" w:hAnsi="Book Antiqua" w:cs="Arial"/>
          <w:i/>
          <w:sz w:val="24"/>
          <w:szCs w:val="24"/>
        </w:rPr>
        <w:t>kedua</w:t>
      </w:r>
      <w:r w:rsidRPr="0063725A">
        <w:rPr>
          <w:rFonts w:ascii="Book Antiqua" w:hAnsi="Book Antiqua" w:cs="Arial"/>
          <w:sz w:val="24"/>
          <w:szCs w:val="24"/>
        </w:rPr>
        <w:t xml:space="preserve">, tidak harus bertemu langsung dengan narasumber, karena angket dapat dilakukan secara tidak langsung dengan dititipkan atau dengan menggunakan media cetak dan elektronik serta media telekomunikasi lain seperti internet; </w:t>
      </w:r>
      <w:r w:rsidRPr="0063725A">
        <w:rPr>
          <w:rFonts w:ascii="Book Antiqua" w:hAnsi="Book Antiqua" w:cs="Arial"/>
          <w:i/>
          <w:sz w:val="24"/>
          <w:szCs w:val="24"/>
        </w:rPr>
        <w:t>ketiga</w:t>
      </w:r>
      <w:r w:rsidRPr="0063725A">
        <w:rPr>
          <w:rFonts w:ascii="Book Antiqua" w:hAnsi="Book Antiqua" w:cs="Arial"/>
          <w:sz w:val="24"/>
          <w:szCs w:val="24"/>
        </w:rPr>
        <w:t xml:space="preserve">, data akan lebih mudah dianalisis, karena termuat dalam daftar list yang telah ditentukan sejak awal. Namun demikian teknik angket memiliki beberapa kelemahan: </w:t>
      </w:r>
      <w:r w:rsidRPr="0063725A">
        <w:rPr>
          <w:rFonts w:ascii="Book Antiqua" w:hAnsi="Book Antiqua" w:cs="Arial"/>
          <w:i/>
          <w:sz w:val="24"/>
          <w:szCs w:val="24"/>
        </w:rPr>
        <w:t>pertama</w:t>
      </w:r>
      <w:r w:rsidRPr="0063725A">
        <w:rPr>
          <w:rFonts w:ascii="Book Antiqua" w:hAnsi="Book Antiqua" w:cs="Arial"/>
          <w:sz w:val="24"/>
          <w:szCs w:val="24"/>
        </w:rPr>
        <w:t xml:space="preserve">, dengan adanya list daftar pertanyaan yang harus dijawab oleh narasumber dapat menutup pengembangan jawaban yang lain; </w:t>
      </w:r>
      <w:r w:rsidRPr="0063725A">
        <w:rPr>
          <w:rFonts w:ascii="Book Antiqua" w:hAnsi="Book Antiqua" w:cs="Arial"/>
          <w:i/>
          <w:sz w:val="24"/>
          <w:szCs w:val="24"/>
        </w:rPr>
        <w:t>kedua</w:t>
      </w:r>
      <w:r w:rsidRPr="0063725A">
        <w:rPr>
          <w:rFonts w:ascii="Book Antiqua" w:hAnsi="Book Antiqua" w:cs="Arial"/>
          <w:sz w:val="24"/>
          <w:szCs w:val="24"/>
        </w:rPr>
        <w:t xml:space="preserve">, dalam teknik angket menggunakan analisis data secara statistik, sehingga menyulitkan bagi seseorang yang berlatar belakang hukum untuk memahami metode statistik, karena bukan bidang keahliannya; </w:t>
      </w:r>
      <w:r w:rsidRPr="0063725A">
        <w:rPr>
          <w:rFonts w:ascii="Book Antiqua" w:hAnsi="Book Antiqua" w:cs="Arial"/>
          <w:i/>
          <w:sz w:val="24"/>
          <w:szCs w:val="24"/>
        </w:rPr>
        <w:t>ketiga</w:t>
      </w:r>
      <w:r w:rsidRPr="0063725A">
        <w:rPr>
          <w:rFonts w:ascii="Book Antiqua" w:hAnsi="Book Antiqua" w:cs="Arial"/>
          <w:sz w:val="24"/>
          <w:szCs w:val="24"/>
        </w:rPr>
        <w:t xml:space="preserve">, dapat saja angket diisi dengan asal atau dapat dikatakan kurang valid dengan berbagai alasan seperti tema yang diajukan tidak menarik bagi narasumber serta data angket dapat dipalsukan </w:t>
      </w:r>
      <w:r w:rsidRPr="0063725A">
        <w:rPr>
          <w:rFonts w:ascii="Book Antiqua" w:hAnsi="Book Antiqua" w:cs="Arial"/>
          <w:sz w:val="24"/>
          <w:szCs w:val="24"/>
        </w:rPr>
        <w:lastRenderedPageBreak/>
        <w:t>isiannya oleh orang lain yang sebenarnya bukan sebagai narasumber yang dimaksud.</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Observasi terkait dengan kegiatan menggali data dari objek bersifat empiris yang sering disebut juga dengan teknik pengamatan. Observasi merupakan proses kegiatan untuk mengumpulkan data dengan cara mengamati fenomena suatu masyarakat tertentu dalam waktu tertentu. Dalam teknik observasi harus dilakukan secara langsung seperti teknik wawancara, tetapi dalam teknik observasi tidak memerlukan kegiatan tanya jawab dengan narasumber secara intensif, karena sudah diwakili dengan proses pengamatan yang dilakukan. Oleh karena itu, dalam teknik observasi terdapat beberapa catatan yang penting untuk dijadikan data sebagai hasil pengamatan. Teknik observasi memiliki tujuan: </w:t>
      </w:r>
      <w:r w:rsidRPr="0063725A">
        <w:rPr>
          <w:rFonts w:ascii="Book Antiqua" w:hAnsi="Book Antiqua" w:cs="Arial"/>
          <w:i/>
          <w:sz w:val="24"/>
          <w:szCs w:val="24"/>
        </w:rPr>
        <w:t>pertama</w:t>
      </w:r>
      <w:r w:rsidRPr="0063725A">
        <w:rPr>
          <w:rFonts w:ascii="Book Antiqua" w:hAnsi="Book Antiqua" w:cs="Arial"/>
          <w:sz w:val="24"/>
          <w:szCs w:val="24"/>
        </w:rPr>
        <w:t xml:space="preserve">, untuk mendapatkan data yang menyeluruh dari objek yang berupa tradisi kebiasaan atau budaya yang ada di dalam masyarakat; </w:t>
      </w:r>
      <w:r w:rsidRPr="0063725A">
        <w:rPr>
          <w:rFonts w:ascii="Book Antiqua" w:hAnsi="Book Antiqua" w:cs="Arial"/>
          <w:i/>
          <w:sz w:val="24"/>
          <w:szCs w:val="24"/>
        </w:rPr>
        <w:t>kedua</w:t>
      </w:r>
      <w:r w:rsidRPr="0063725A">
        <w:rPr>
          <w:rFonts w:ascii="Book Antiqua" w:hAnsi="Book Antiqua" w:cs="Arial"/>
          <w:sz w:val="24"/>
          <w:szCs w:val="24"/>
        </w:rPr>
        <w:t xml:space="preserve">, untuk memperoleh diskripsi secara lengkap tentang kehidupan sosial masyarakat yang kemudian dapat diambil sebagai aspek untuk memperoleh hukum di dalamnya; </w:t>
      </w:r>
      <w:r w:rsidRPr="0063725A">
        <w:rPr>
          <w:rFonts w:ascii="Book Antiqua" w:hAnsi="Book Antiqua" w:cs="Arial"/>
          <w:i/>
          <w:sz w:val="24"/>
          <w:szCs w:val="24"/>
        </w:rPr>
        <w:t>ketiga</w:t>
      </w:r>
      <w:r w:rsidRPr="0063725A">
        <w:rPr>
          <w:rFonts w:ascii="Book Antiqua" w:hAnsi="Book Antiqua" w:cs="Arial"/>
          <w:sz w:val="24"/>
          <w:szCs w:val="24"/>
        </w:rPr>
        <w:t xml:space="preserve">, untuk mengadakan eksplorasi terhadap kehidupan sosial masyarakat yang sedang diamati. Observasi sebagai teknik mengumpulkan data memiliki beberapa keunggulan: </w:t>
      </w:r>
      <w:r w:rsidRPr="0063725A">
        <w:rPr>
          <w:rFonts w:ascii="Book Antiqua" w:hAnsi="Book Antiqua" w:cs="Arial"/>
          <w:i/>
          <w:sz w:val="24"/>
          <w:szCs w:val="24"/>
        </w:rPr>
        <w:t>pertama</w:t>
      </w:r>
      <w:r w:rsidRPr="0063725A">
        <w:rPr>
          <w:rFonts w:ascii="Book Antiqua" w:hAnsi="Book Antiqua" w:cs="Arial"/>
          <w:sz w:val="24"/>
          <w:szCs w:val="24"/>
        </w:rPr>
        <w:t xml:space="preserve">, tidak mudah untuk membohongi dengan data yang palsu atau tidak dapat dipertanggungjawabkan, karena dapat mengamati secara langsung; </w:t>
      </w:r>
      <w:r w:rsidRPr="0063725A">
        <w:rPr>
          <w:rFonts w:ascii="Book Antiqua" w:hAnsi="Book Antiqua" w:cs="Arial"/>
          <w:i/>
          <w:sz w:val="24"/>
          <w:szCs w:val="24"/>
        </w:rPr>
        <w:t>kedua</w:t>
      </w:r>
      <w:r w:rsidRPr="0063725A">
        <w:rPr>
          <w:rFonts w:ascii="Book Antiqua" w:hAnsi="Book Antiqua" w:cs="Arial"/>
          <w:sz w:val="24"/>
          <w:szCs w:val="24"/>
        </w:rPr>
        <w:t xml:space="preserve">, hasil pengamatan merupakan data yang diperoleh dari pengalaman secara langsung, sehingga menjadi bagian dari pengalaman pribadi yang tidak terpisah dari seseorang yang selalu akan diingat; </w:t>
      </w:r>
      <w:r w:rsidRPr="0063725A">
        <w:rPr>
          <w:rFonts w:ascii="Book Antiqua" w:hAnsi="Book Antiqua" w:cs="Arial"/>
          <w:i/>
          <w:sz w:val="24"/>
          <w:szCs w:val="24"/>
        </w:rPr>
        <w:t>ketiga</w:t>
      </w:r>
      <w:r w:rsidRPr="0063725A">
        <w:rPr>
          <w:rFonts w:ascii="Book Antiqua" w:hAnsi="Book Antiqua" w:cs="Arial"/>
          <w:sz w:val="24"/>
          <w:szCs w:val="24"/>
        </w:rPr>
        <w:t xml:space="preserve">, dapat diperoleh data yang lebih akurat dan terperinci dari realitas nyata yang teramati secara alamiah. Observasi dapat dilakukan secara penuh dengan mengikuti </w:t>
      </w:r>
      <w:r w:rsidRPr="0063725A">
        <w:rPr>
          <w:rFonts w:ascii="Book Antiqua" w:hAnsi="Book Antiqua" w:cs="Arial"/>
          <w:sz w:val="24"/>
          <w:szCs w:val="24"/>
        </w:rPr>
        <w:lastRenderedPageBreak/>
        <w:t xml:space="preserve">seluruh kegiatan yang dilakukan oleh masyarakat, sehingga dapat memperoleh data yang lebih akurat dan lengkap, meskipun dalam observasi terdapat pula teknik yang hanya mengikuti kegiatan tertentu dalam masyarakat. Namun demikian teknik observasi memiliki beberapa kelemahan: </w:t>
      </w:r>
      <w:r w:rsidRPr="0063725A">
        <w:rPr>
          <w:rFonts w:ascii="Book Antiqua" w:hAnsi="Book Antiqua" w:cs="Arial"/>
          <w:i/>
          <w:sz w:val="24"/>
          <w:szCs w:val="24"/>
        </w:rPr>
        <w:t>pertama</w:t>
      </w:r>
      <w:r w:rsidRPr="0063725A">
        <w:rPr>
          <w:rFonts w:ascii="Book Antiqua" w:hAnsi="Book Antiqua" w:cs="Arial"/>
          <w:sz w:val="24"/>
          <w:szCs w:val="24"/>
        </w:rPr>
        <w:t xml:space="preserve">, memerlukan waktu yang terus menerus dalam melakukan observasi; </w:t>
      </w:r>
      <w:r w:rsidRPr="0063725A">
        <w:rPr>
          <w:rFonts w:ascii="Book Antiqua" w:hAnsi="Book Antiqua" w:cs="Arial"/>
          <w:i/>
          <w:sz w:val="24"/>
          <w:szCs w:val="24"/>
        </w:rPr>
        <w:t>kedua</w:t>
      </w:r>
      <w:r w:rsidRPr="0063725A">
        <w:rPr>
          <w:rFonts w:ascii="Book Antiqua" w:hAnsi="Book Antiqua" w:cs="Arial"/>
          <w:sz w:val="24"/>
          <w:szCs w:val="24"/>
        </w:rPr>
        <w:t xml:space="preserve">, menuntut keaktifan dari pengamat dalam menggali segala informasi yang diperlukan untuk membuktikan sebuah kebenaran; </w:t>
      </w:r>
      <w:r w:rsidRPr="0063725A">
        <w:rPr>
          <w:rFonts w:ascii="Book Antiqua" w:hAnsi="Book Antiqua" w:cs="Arial"/>
          <w:i/>
          <w:sz w:val="24"/>
          <w:szCs w:val="24"/>
        </w:rPr>
        <w:t>ketiga</w:t>
      </w:r>
      <w:r w:rsidRPr="0063725A">
        <w:rPr>
          <w:rFonts w:ascii="Book Antiqua" w:hAnsi="Book Antiqua" w:cs="Arial"/>
          <w:sz w:val="24"/>
          <w:szCs w:val="24"/>
        </w:rPr>
        <w:t xml:space="preserve">, adanya resiko yang tidak baik dari situasi dan keadaan yang ada di lapangan, seperti resiko dari perlakuan tidak menyenangkan oleh oknum masyarakat yang diamati.        </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Data yang berisi tentang tradisi kebiasaanmasyarakat yang diperoleh melalui teknik wawancara, observasi dan angket selanjutnya diolah dengan menitikberatkan pada keabsahan validitas datanya. Validitas data dalam hal ini menjadi kunci utama dalam teknik pengolahan data, karena data yang diperoleh dari lapangan telah mengandung nilai kebenaran materiil tersendiri, sehingga penyusunan secara sistematis hanya bersifat teknis. Oleh karena itu, pengecekan terhadap kualitas data yang diperoleh dari data empiris dapat mempengaruhi kebenaran yang dihasilkan. Penyebutan data empiris sebagai data primer karena data yang diperoleh memiliki kedekatan lebih besar dengan objek hukum yang sedang dikaji, sehingga nilai data tersebut memiliki keutamaan jika dibanding dengan data hasil studi kepustakaan. Pengklasifikasian, kodifikasi, tabulasi, hingga sampai pada pengolahan statistik dilakukan secara sistematis terhadap data yang diperoleh melalui teknik wawancara, observasi dan angket. Akan tetapi perlu diingat bahwa pengolahan data tersebut sebagai cara untuk menjelaskan data yang berupa tata pergaulan hidup </w:t>
      </w:r>
      <w:r w:rsidRPr="0063725A">
        <w:rPr>
          <w:rFonts w:ascii="Book Antiqua" w:hAnsi="Book Antiqua" w:cs="Arial"/>
          <w:sz w:val="24"/>
          <w:szCs w:val="24"/>
        </w:rPr>
        <w:lastRenderedPageBreak/>
        <w:t>yang bersifat empiris di masyarakat, bukan sebagai sistem logis tertutup dalam format data hukum.</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Setelah data hukum primer dikumpulkan dan diolah, maka langkah selanjutnya dilakukan analisis data, yaitu dengan melakukan telaah kajian terhadap hasil pengolahan data yang didukung dengan mahzab sejarah hukum yang dipergunakan. Penggunaan teori hukum disesuaikan dengan objek ilmu hukum yang berupa tradisi kebiasaan masyarakat. Analisis data merupakan kegiatan memberikan telaah kajian yang dapat bersifat mendukung, menentang dan atau memberi argumen untuk menambah atau mengurangi kebenaran data yang diakhiri dengan menarik sebuah kesimpulan dengan merumuskan sebuah pernyataan dari hasil pemikiran sendiri. Analisis data dalam hukum memiliki tiga sifat: </w:t>
      </w:r>
      <w:r w:rsidRPr="0063725A">
        <w:rPr>
          <w:rFonts w:ascii="Book Antiqua" w:hAnsi="Book Antiqua" w:cs="Arial"/>
          <w:i/>
          <w:sz w:val="24"/>
          <w:szCs w:val="24"/>
        </w:rPr>
        <w:t>pertama</w:t>
      </w:r>
      <w:r w:rsidRPr="0063725A">
        <w:rPr>
          <w:rFonts w:ascii="Book Antiqua" w:hAnsi="Book Antiqua" w:cs="Arial"/>
          <w:sz w:val="24"/>
          <w:szCs w:val="24"/>
        </w:rPr>
        <w:t xml:space="preserve">, bersifat deskriptif untuk memberikan gambaran atau pemaparan secara menyeluruh dan nyata tentang hukum sebagai bentuk tradisi kebiasaan masyarakat; </w:t>
      </w:r>
      <w:r w:rsidRPr="0063725A">
        <w:rPr>
          <w:rFonts w:ascii="Book Antiqua" w:hAnsi="Book Antiqua" w:cs="Arial"/>
          <w:i/>
          <w:sz w:val="24"/>
          <w:szCs w:val="24"/>
        </w:rPr>
        <w:t>kedua</w:t>
      </w:r>
      <w:r w:rsidRPr="0063725A">
        <w:rPr>
          <w:rFonts w:ascii="Book Antiqua" w:hAnsi="Book Antiqua" w:cs="Arial"/>
          <w:sz w:val="24"/>
          <w:szCs w:val="24"/>
        </w:rPr>
        <w:t xml:space="preserve">, bersifat evaluatif dengan memberikan justifikasi penilaian terhadap fakta hukum, apakah hipotesis dari teori hukum yang diajukan diterima atau ditolak; </w:t>
      </w:r>
      <w:r w:rsidRPr="0063725A">
        <w:rPr>
          <w:rFonts w:ascii="Book Antiqua" w:hAnsi="Book Antiqua" w:cs="Arial"/>
          <w:i/>
          <w:sz w:val="24"/>
          <w:szCs w:val="24"/>
        </w:rPr>
        <w:t>ketiga</w:t>
      </w:r>
      <w:r w:rsidRPr="0063725A">
        <w:rPr>
          <w:rFonts w:ascii="Book Antiqua" w:hAnsi="Book Antiqua" w:cs="Arial"/>
          <w:sz w:val="24"/>
          <w:szCs w:val="24"/>
        </w:rPr>
        <w:t>, bersifat preskriptif untuk memberikan argumentasi terhadap fakta hukum mengenai benar atau salah dan atau bagaimana yang seharusnya menurut hukum.</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indera seperti dalam mahzab sejarah hukum memperoleh pengetahuan yang benar melalui metode penalaran induktif, yaitu dengan cara menarik satu kesimpulan hukum dari berbagai kasus nyata dalam hukum yang bersifat khusus atau individu menjadi satu kesimpulan hukum yang bersifat umum. Metode penalarana induktif diawali dengan mengemukakan pernyataan-pernyataan hukum yang mempunyai </w:t>
      </w:r>
      <w:r w:rsidRPr="0063725A">
        <w:rPr>
          <w:rFonts w:ascii="Book Antiqua" w:hAnsi="Book Antiqua" w:cs="Arial"/>
          <w:sz w:val="24"/>
          <w:szCs w:val="24"/>
        </w:rPr>
        <w:lastRenderedPageBreak/>
        <w:t>ruang lingkup hukum yang khas dan terbatas dalam menyusun argumentasi hukum yang diakhiri dengan pernyataan hukum yang bersifat umum. Penggunaan metode induktifi ini seperti dikemukakan oleh Francis Bacon sebagai penganut paham empirisme modern. Terhadap gejala-gejala fisik alamiah menurut kaum empirisme bersifat konkrit dan nyata yang dapat dinyatakan melalui daya kemampuan indera manusia. Gejala-gejala fisik tersebut jika ditelaah dalam suatu kajian khusus lebih lanjut mempunyai beberapa karakteristik tertentu yang khas dan melekat kepadanya, seperti terdapat pola yang teratur mengenai suatu kejadian tertentu. Karakteristik lain dalam epistemologi yang dikembangkan dengan sarana penalaran indera yaitu adanya sifat kesamaan dan pengulangan untuk dapat melakukan generalisasi dari berbagai kasus sejenis yang telah terjadi. Penerimaan teori empirisme terkait penyelidikan terhadap kebenaran cukup bertumpu pada metode induksi yang berdasar pada indera, bukan akal rasional.</w:t>
      </w:r>
      <w:r w:rsidRPr="0063725A">
        <w:rPr>
          <w:rStyle w:val="FootnoteReference"/>
          <w:rFonts w:ascii="Book Antiqua" w:hAnsi="Book Antiqua" w:cs="Arial"/>
          <w:sz w:val="24"/>
          <w:szCs w:val="24"/>
        </w:rPr>
        <w:footnoteReference w:id="103"/>
      </w:r>
      <w:r w:rsidRPr="0063725A">
        <w:rPr>
          <w:rFonts w:ascii="Book Antiqua" w:hAnsi="Book Antiqua" w:cs="Arial"/>
          <w:sz w:val="24"/>
          <w:szCs w:val="24"/>
        </w:rPr>
        <w:t xml:space="preserve"> Metode ilmiah yang tepat untuk memahami hukum sebagai perilaku empiris masyarakat adalah dengan menggunakan metode induktif. Hal ini dalam ilmu pengetahuan sebagaimana yang dikemukakan oleh A.B. Shah dalam </w:t>
      </w:r>
      <w:r w:rsidRPr="0063725A">
        <w:rPr>
          <w:rFonts w:ascii="Book Antiqua" w:hAnsi="Book Antiqua" w:cs="Arial"/>
          <w:i/>
          <w:sz w:val="24"/>
          <w:szCs w:val="24"/>
        </w:rPr>
        <w:t>scientific method</w:t>
      </w:r>
      <w:r w:rsidRPr="0063725A">
        <w:rPr>
          <w:rFonts w:ascii="Book Antiqua" w:hAnsi="Book Antiqua" w:cs="Arial"/>
          <w:sz w:val="24"/>
          <w:szCs w:val="24"/>
        </w:rPr>
        <w:t>, bahwa pengertian yang paling baik tentang metode ilmiah dapat dilihat dari induksi Bacon.</w:t>
      </w:r>
      <w:r w:rsidRPr="0063725A">
        <w:rPr>
          <w:rStyle w:val="FootnoteReference"/>
          <w:rFonts w:ascii="Book Antiqua" w:hAnsi="Book Antiqua" w:cs="Arial"/>
          <w:sz w:val="24"/>
          <w:szCs w:val="24"/>
        </w:rPr>
        <w:footnoteReference w:id="104"/>
      </w:r>
      <w:r w:rsidRPr="0063725A">
        <w:rPr>
          <w:rFonts w:ascii="Book Antiqua" w:hAnsi="Book Antiqua" w:cs="Arial"/>
          <w:sz w:val="24"/>
          <w:szCs w:val="24"/>
        </w:rPr>
        <w:t xml:space="preserve"> Induksi digunakan sebagai metode untuk mensistematisir secara umum prosedur ilmiah yang berisi asas filosofi bersifat praktis.</w:t>
      </w:r>
      <w:r w:rsidRPr="0063725A">
        <w:rPr>
          <w:rStyle w:val="FootnoteReference"/>
          <w:rFonts w:ascii="Book Antiqua" w:hAnsi="Book Antiqua" w:cs="Arial"/>
          <w:sz w:val="24"/>
          <w:szCs w:val="24"/>
        </w:rPr>
        <w:footnoteReference w:id="105"/>
      </w:r>
    </w:p>
    <w:p w:rsidR="00CD411E" w:rsidRPr="0063725A" w:rsidRDefault="00CD411E" w:rsidP="00CD411E">
      <w:pPr>
        <w:tabs>
          <w:tab w:val="right" w:leader="dot" w:pos="7938"/>
        </w:tabs>
        <w:spacing w:after="0" w:line="360" w:lineRule="auto"/>
        <w:jc w:val="both"/>
        <w:rPr>
          <w:rFonts w:ascii="Book Antiqua" w:hAnsi="Book Antiqua" w:cs="Arial"/>
          <w:sz w:val="24"/>
          <w:szCs w:val="24"/>
        </w:rPr>
      </w:pPr>
      <w:r w:rsidRPr="0063725A">
        <w:rPr>
          <w:rFonts w:ascii="Book Antiqua" w:hAnsi="Book Antiqua" w:cs="Arial"/>
          <w:sz w:val="24"/>
          <w:szCs w:val="24"/>
        </w:rPr>
        <w:t>Contoh penggunaan metode induktif;</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Terdapat fakta bahwa:</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padi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jagung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t>Mengambil sisa panen kedelai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r w:rsidRPr="0063725A">
        <w:rPr>
          <w:rFonts w:ascii="Book Antiqua" w:hAnsi="Book Antiqua" w:cs="Arial"/>
          <w:sz w:val="24"/>
          <w:szCs w:val="24"/>
        </w:rPr>
        <w:lastRenderedPageBreak/>
        <w:t>Maka kesimpulannya mengambil sisa panen apapun di sawah diperbolehkan.</w:t>
      </w:r>
    </w:p>
    <w:p w:rsidR="00CD411E" w:rsidRPr="0063725A" w:rsidRDefault="00CD411E" w:rsidP="00CD411E">
      <w:pPr>
        <w:tabs>
          <w:tab w:val="right" w:leader="dot" w:pos="7938"/>
        </w:tabs>
        <w:spacing w:after="0" w:line="240" w:lineRule="auto"/>
        <w:ind w:left="709" w:hanging="709"/>
        <w:jc w:val="both"/>
        <w:rPr>
          <w:rFonts w:ascii="Book Antiqua" w:hAnsi="Book Antiqua" w:cs="Arial"/>
          <w:sz w:val="24"/>
          <w:szCs w:val="24"/>
        </w:rPr>
      </w:pP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dari pengetahuan yang benar menurut metode penalaran induktif, karena telah sesuai dengan pernyataan-pernataan yang memiliki kesamaan dan pengulangan. Metode penalaran induktif Menurut J. Stuart Mill sangat penting untuk pengembangan ilmu pengetahuan, karena berusaha menggali pengetahuan dari yang diketahui menuju ke yang belum diketahui. Indera menurutnya sumber pengetahuan yang paling benar dan akal hanya mendapat tugas untuk mengolah bahan data yang diperoleh dari pengalaman, seperti pernyataannya tentang </w:t>
      </w:r>
      <w:r w:rsidRPr="0063725A">
        <w:rPr>
          <w:rFonts w:ascii="Book Antiqua" w:hAnsi="Book Antiqua" w:cs="Arial"/>
          <w:i/>
          <w:sz w:val="24"/>
          <w:szCs w:val="24"/>
        </w:rPr>
        <w:t>“all science consists of data and conclusions from those data”</w:t>
      </w:r>
      <w:r w:rsidRPr="0063725A">
        <w:rPr>
          <w:rFonts w:ascii="Book Antiqua" w:hAnsi="Book Antiqua" w:cs="Arial"/>
          <w:sz w:val="24"/>
          <w:szCs w:val="24"/>
        </w:rPr>
        <w:t xml:space="preserve"> (semua pengetahuan terdiri atas data dan keputusan data tersebut).</w:t>
      </w:r>
      <w:r w:rsidRPr="0063725A">
        <w:rPr>
          <w:rStyle w:val="FootnoteReference"/>
          <w:rFonts w:ascii="Book Antiqua" w:hAnsi="Book Antiqua" w:cs="Arial"/>
          <w:sz w:val="24"/>
          <w:szCs w:val="24"/>
        </w:rPr>
        <w:footnoteReference w:id="106"/>
      </w:r>
      <w:r w:rsidRPr="0063725A">
        <w:rPr>
          <w:rFonts w:ascii="Book Antiqua" w:hAnsi="Book Antiqua" w:cs="Arial"/>
          <w:sz w:val="24"/>
          <w:szCs w:val="24"/>
        </w:rPr>
        <w:t xml:space="preserve"> Mill dalam </w:t>
      </w:r>
      <w:r w:rsidRPr="0063725A">
        <w:rPr>
          <w:rFonts w:ascii="Book Antiqua" w:hAnsi="Book Antiqua" w:cs="Arial"/>
          <w:i/>
          <w:sz w:val="24"/>
          <w:szCs w:val="24"/>
        </w:rPr>
        <w:t>a system of logic</w:t>
      </w:r>
      <w:r w:rsidRPr="0063725A">
        <w:rPr>
          <w:rFonts w:ascii="Book Antiqua" w:hAnsi="Book Antiqua" w:cs="Arial"/>
          <w:sz w:val="24"/>
          <w:szCs w:val="24"/>
        </w:rPr>
        <w:t xml:space="preserve"> berusaha menyelidiki dasar-dasar teoritis filosofi dari proses cara kerja induksi. Menurut Mill, bahwa tugas utama logika dalam bidang mengatur cara kerja induktif tidak lebih dari hanya sekedar menentukan patokan deduksi yang bersifat logis dan tidak pernah menyampaikan pengetahuan baru. Dalam menguraikan logika induktif, Mill cenderung untuk menghindari daya eksterm yang terkait dengan sistem generalisasi empiris dan mencari dukungan dalam salah satu teori mengenai induksi.</w:t>
      </w:r>
      <w:r w:rsidRPr="0063725A">
        <w:rPr>
          <w:rStyle w:val="FootnoteReference"/>
          <w:rFonts w:ascii="Book Antiqua" w:hAnsi="Book Antiqua" w:cs="Arial"/>
          <w:sz w:val="24"/>
          <w:szCs w:val="24"/>
        </w:rPr>
        <w:footnoteReference w:id="107"/>
      </w:r>
      <w:r w:rsidRPr="0063725A">
        <w:rPr>
          <w:rFonts w:ascii="Book Antiqua" w:hAnsi="Book Antiqua" w:cs="Arial"/>
          <w:sz w:val="24"/>
          <w:szCs w:val="24"/>
        </w:rPr>
        <w:t xml:space="preserve"> Mill berpandangan bahwa penalaran induksi sangat penting, karena berjalan dari sesuatu yang diketahui menuju kepada yang belumdiketahui.</w:t>
      </w:r>
      <w:r w:rsidRPr="0063725A">
        <w:rPr>
          <w:rStyle w:val="FootnoteReference"/>
          <w:rFonts w:ascii="Book Antiqua" w:hAnsi="Book Antiqua" w:cs="Arial"/>
          <w:sz w:val="24"/>
          <w:szCs w:val="24"/>
        </w:rPr>
        <w:footnoteReference w:id="108"/>
      </w:r>
      <w:r w:rsidRPr="0063725A">
        <w:rPr>
          <w:rFonts w:ascii="Book Antiqua" w:hAnsi="Book Antiqua" w:cs="Arial"/>
          <w:sz w:val="24"/>
          <w:szCs w:val="24"/>
        </w:rPr>
        <w:t xml:space="preserve"> Pengetahuan yang paling umum dan lama-kelamaan muncul untuk diperiksa adalah </w:t>
      </w:r>
      <w:r w:rsidRPr="0063725A">
        <w:rPr>
          <w:rFonts w:ascii="Book Antiqua" w:hAnsi="Book Antiqua" w:cs="Arial"/>
          <w:i/>
          <w:sz w:val="24"/>
          <w:szCs w:val="24"/>
        </w:rPr>
        <w:t>the course of nature in uniform</w:t>
      </w:r>
      <w:r w:rsidRPr="0063725A">
        <w:rPr>
          <w:rFonts w:ascii="Book Antiqua" w:hAnsi="Book Antiqua" w:cs="Arial"/>
          <w:sz w:val="24"/>
          <w:szCs w:val="24"/>
        </w:rPr>
        <w:t xml:space="preserve"> yang merupakan asas dasar atau aksioma umum dari induksi. </w:t>
      </w:r>
    </w:p>
    <w:p w:rsidR="00CD411E" w:rsidRPr="0063725A" w:rsidRDefault="00CD411E" w:rsidP="00CD411E">
      <w:pPr>
        <w:tabs>
          <w:tab w:val="right" w:leader="dot" w:pos="7938"/>
        </w:tabs>
        <w:spacing w:after="0" w:line="480" w:lineRule="auto"/>
        <w:jc w:val="both"/>
        <w:rPr>
          <w:rFonts w:ascii="Book Antiqua" w:eastAsia="Calibri" w:hAnsi="Book Antiqua" w:cs="Arial"/>
          <w:sz w:val="24"/>
          <w:szCs w:val="24"/>
          <w:lang w:eastAsia="en-GB"/>
        </w:rPr>
      </w:pPr>
      <w:r w:rsidRPr="0063725A">
        <w:rPr>
          <w:rFonts w:ascii="Book Antiqua" w:eastAsia="Calibri" w:hAnsi="Book Antiqua" w:cs="Arial"/>
          <w:sz w:val="24"/>
          <w:szCs w:val="24"/>
        </w:rPr>
        <w:lastRenderedPageBreak/>
        <w:t xml:space="preserve">          Metode penalaran induktif, apabila dikaitkan dengan merujuk pada pandangan David Hume, maka pengalaman empiris yang ada dalam pergaulan hidup di masyarakat lebih memberi kebenaran objek hukum yang kuat dibanding dengan kesimpulan yang dihasilkan dari logika akal melalui rasional dan kausalitas yang tidak dapat digunakan untuk menetapkan peristiwa-peristiwa hukum yang terjadi dan akan terjadi selanjutnya berdasarkan peristiwa hukum yang telah terjadi, sehingga pengalaman empiris yang dipandang sebagai hukum yang mampu memberikan informasi yang langsung dan pasti terhadap objek yang diamati sesuai dengan </w:t>
      </w:r>
      <w:r w:rsidRPr="0063725A">
        <w:rPr>
          <w:rFonts w:ascii="Book Antiqua" w:eastAsia="Calibri" w:hAnsi="Book Antiqua" w:cs="Arial"/>
          <w:i/>
          <w:sz w:val="24"/>
          <w:szCs w:val="24"/>
        </w:rPr>
        <w:t>tempus</w:t>
      </w:r>
      <w:r w:rsidRPr="0063725A">
        <w:rPr>
          <w:rFonts w:ascii="Book Antiqua" w:eastAsia="Calibri" w:hAnsi="Book Antiqua" w:cs="Arial"/>
          <w:sz w:val="24"/>
          <w:szCs w:val="24"/>
        </w:rPr>
        <w:t xml:space="preserve"> dan </w:t>
      </w:r>
      <w:r w:rsidRPr="0063725A">
        <w:rPr>
          <w:rFonts w:ascii="Book Antiqua" w:eastAsia="Calibri" w:hAnsi="Book Antiqua" w:cs="Arial"/>
          <w:i/>
          <w:sz w:val="24"/>
          <w:szCs w:val="24"/>
        </w:rPr>
        <w:t>locus.</w:t>
      </w:r>
      <w:r w:rsidRPr="0063725A">
        <w:rPr>
          <w:rFonts w:ascii="Book Antiqua" w:eastAsia="Calibri" w:hAnsi="Book Antiqua" w:cs="Arial"/>
          <w:sz w:val="24"/>
          <w:szCs w:val="24"/>
        </w:rPr>
        <w:t xml:space="preserve"> Terkait dengan itu, Hume memiliki pandangan yang sama dengan membedakan sebuah objek dari hal-hal yang bersifat inderawi </w:t>
      </w:r>
      <w:r w:rsidRPr="0063725A">
        <w:rPr>
          <w:rFonts w:ascii="Book Antiqua" w:eastAsia="Calibri" w:hAnsi="Book Antiqua" w:cs="Arial"/>
          <w:i/>
          <w:sz w:val="24"/>
          <w:szCs w:val="24"/>
        </w:rPr>
        <w:t xml:space="preserve">(is/sein) </w:t>
      </w:r>
      <w:r w:rsidRPr="0063725A">
        <w:rPr>
          <w:rFonts w:ascii="Book Antiqua" w:eastAsia="Calibri" w:hAnsi="Book Antiqua" w:cs="Arial"/>
          <w:sz w:val="24"/>
          <w:szCs w:val="24"/>
        </w:rPr>
        <w:t xml:space="preserve">dengan objek dari hal-hal yang seharusnya </w:t>
      </w:r>
      <w:r w:rsidRPr="0063725A">
        <w:rPr>
          <w:rFonts w:ascii="Book Antiqua" w:eastAsia="Calibri" w:hAnsi="Book Antiqua" w:cs="Arial"/>
          <w:i/>
          <w:sz w:val="24"/>
          <w:szCs w:val="24"/>
        </w:rPr>
        <w:t>(ought/sollen)</w:t>
      </w:r>
      <w:r w:rsidRPr="0063725A">
        <w:rPr>
          <w:rFonts w:ascii="Book Antiqua" w:eastAsia="Calibri" w:hAnsi="Book Antiqua" w:cs="Arial"/>
          <w:sz w:val="24"/>
          <w:szCs w:val="24"/>
        </w:rPr>
        <w:t>.</w:t>
      </w:r>
      <w:r w:rsidRPr="0063725A">
        <w:rPr>
          <w:rFonts w:ascii="Book Antiqua" w:eastAsia="Calibri" w:hAnsi="Book Antiqua" w:cs="Arial"/>
          <w:sz w:val="24"/>
          <w:szCs w:val="24"/>
          <w:vertAlign w:val="superscript"/>
        </w:rPr>
        <w:footnoteReference w:id="109"/>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CD6713">
        <w:rPr>
          <w:rFonts w:ascii="Book Antiqua" w:hAnsi="Book Antiqua" w:cs="Arial"/>
          <w:sz w:val="24"/>
          <w:szCs w:val="24"/>
        </w:rPr>
        <w:t xml:space="preserve">          </w:t>
      </w:r>
      <w:r w:rsidRPr="0063725A">
        <w:rPr>
          <w:rFonts w:ascii="Book Antiqua" w:hAnsi="Book Antiqua" w:cs="Arial"/>
          <w:sz w:val="24"/>
          <w:szCs w:val="24"/>
        </w:rPr>
        <w:t>Metode korespondensi digunakan untuk mengukur validitas keabsahan kebenaran hukum yang dihasilkan dari metode penalaran induktif, yaitu suatu pernyataan dianggap benar jika pernyataan tersebut dapat berkorespondensi (berhubungan) dengan objek hukum yang bersifat faktual dan nyata. Dikemukakan oleh Bertrand Russell, bahwa korespondensi menjadi cara yang penting untuk menentukan validitas dan keabsahan kebenaran pengetahuan dari suatu ilmu dalam epistemologi yang dikembangkan dengan sarana penalaran indera.</w:t>
      </w:r>
      <w:r w:rsidRPr="0063725A">
        <w:rPr>
          <w:rStyle w:val="FootnoteReference"/>
          <w:rFonts w:ascii="Book Antiqua" w:hAnsi="Book Antiqua" w:cs="Arial"/>
          <w:sz w:val="24"/>
          <w:szCs w:val="24"/>
        </w:rPr>
        <w:footnoteReference w:id="110"/>
      </w:r>
      <w:r w:rsidRPr="0063725A">
        <w:rPr>
          <w:rFonts w:ascii="Book Antiqua" w:hAnsi="Book Antiqua" w:cs="Arial"/>
          <w:sz w:val="24"/>
          <w:szCs w:val="24"/>
        </w:rPr>
        <w:t xml:space="preserve"> Menurut mahzab sejarah hukum kebenaran hukum merupakan kesesuaian dengan sejarah.</w:t>
      </w:r>
      <w:r w:rsidRPr="0063725A">
        <w:rPr>
          <w:rStyle w:val="FootnoteReference"/>
          <w:rFonts w:ascii="Book Antiqua" w:eastAsia="Times New Roman" w:hAnsi="Book Antiqua" w:cs="Arial"/>
          <w:sz w:val="24"/>
          <w:szCs w:val="24"/>
        </w:rPr>
        <w:footnoteReference w:id="111"/>
      </w:r>
      <w:r w:rsidRPr="0063725A">
        <w:rPr>
          <w:rFonts w:ascii="Book Antiqua" w:hAnsi="Book Antiqua" w:cs="Arial"/>
          <w:sz w:val="24"/>
          <w:szCs w:val="24"/>
        </w:rPr>
        <w:t xml:space="preserve">Kebenaranmerupakan bentuk persesuaiannya dengan fakta yang ada, artinya bahwa pengetahuan mengenai realitas dan kenyataan berada dalam posisi </w:t>
      </w:r>
      <w:r w:rsidRPr="0063725A">
        <w:rPr>
          <w:rFonts w:ascii="Book Antiqua" w:hAnsi="Book Antiqua" w:cs="Arial"/>
          <w:sz w:val="24"/>
          <w:szCs w:val="24"/>
        </w:rPr>
        <w:lastRenderedPageBreak/>
        <w:t xml:space="preserve">sejajar secara harmonis. Sesuatu dipandang benar menurut hukum jika dapat dipertimbangankan sesuai dengan fakta atau dapat dikatakan bahwa kebenaran hukum adalah persesuaian antara pernyataan dan kenyataan hukum. </w:t>
      </w:r>
    </w:p>
    <w:p w:rsidR="00CD411E" w:rsidRPr="0063725A" w:rsidRDefault="00CD411E" w:rsidP="00CD411E">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Korespondensi digunakan sebagai alat ukur untuk menguji validitas kebenaran yang dihasilkan dari data yang bersifat induktif akan memiliki keterkaitan erat dengan cara pandang empirisme yang memiliki pandangan yang lebih khusus dan keras dengan membatasi diri pada objek yang diamati secara inderawi yang disebut sebagai fakta yang benar, karena itu benar-benar riil dapat ditangkap oleh indera manusia dan bukan sebagai ide yang abstrak dan belum tentu benar adanya. Cara pandang empirisme tersebut memiliki kriteria untuk menyatakan bahwa dasar dari ilmu pengetahuan adalah apa yang kita dengar, lihat dan rasakan. Hal ini berarti menunjukkan bagaimana manusia menggunakan inderanya sebagai sarana penalaran dalam mengembangkan epistemologi untuk menggali dan memperoleh pengetahuan, seperti terdapat dalam Q.S Al-Balad ayat 8-9; </w:t>
      </w:r>
      <w:r w:rsidRPr="0063725A">
        <w:rPr>
          <w:rFonts w:ascii="Book Antiqua" w:hAnsi="Book Antiqua" w:cs="Arial"/>
          <w:i/>
          <w:sz w:val="24"/>
          <w:szCs w:val="24"/>
        </w:rPr>
        <w:t>“Bukankah Kami telah memberikan kepadanya dua buah mata, lidah dan dua buah bibir,”</w:t>
      </w:r>
      <w:r w:rsidRPr="0063725A">
        <w:rPr>
          <w:rFonts w:ascii="Book Antiqua" w:hAnsi="Book Antiqua" w:cs="Arial"/>
          <w:sz w:val="24"/>
          <w:szCs w:val="24"/>
        </w:rPr>
        <w:t xml:space="preserve">dan Q.S Yunus ayat 101; </w:t>
      </w:r>
      <w:r w:rsidRPr="0063725A">
        <w:rPr>
          <w:rFonts w:ascii="Book Antiqua" w:hAnsi="Book Antiqua" w:cs="Arial"/>
          <w:i/>
          <w:sz w:val="24"/>
          <w:szCs w:val="24"/>
        </w:rPr>
        <w:t>"Katakanlah, lihatlah segala yang ada di langit-langit dan di bumi."</w:t>
      </w:r>
      <w:r w:rsidRPr="0063725A">
        <w:rPr>
          <w:rFonts w:ascii="Book Antiqua" w:eastAsia="Times New Roman" w:hAnsi="Book Antiqua" w:cs="Arial"/>
          <w:sz w:val="24"/>
          <w:szCs w:val="24"/>
        </w:rPr>
        <w:t>Abu Sa’id al-Syirafi ahli bahasa penganut bayani berpandangan bahwa kata atau bahasa muncul lebih dulu daripada makna,</w:t>
      </w:r>
      <w:r w:rsidRPr="0063725A">
        <w:rPr>
          <w:rStyle w:val="FootnoteReference"/>
          <w:rFonts w:ascii="Book Antiqua" w:eastAsia="Times New Roman" w:hAnsi="Book Antiqua" w:cs="Arial"/>
          <w:sz w:val="24"/>
          <w:szCs w:val="24"/>
        </w:rPr>
        <w:footnoteReference w:id="112"/>
      </w:r>
      <w:r w:rsidRPr="0063725A">
        <w:rPr>
          <w:rFonts w:ascii="Book Antiqua" w:eastAsia="Times New Roman" w:hAnsi="Book Antiqua" w:cs="Arial"/>
          <w:sz w:val="24"/>
          <w:szCs w:val="24"/>
        </w:rPr>
        <w:t xml:space="preserve"> artinya pengetahuan kata yang berasal dari proses mendengar dan melihat berasal dari epistemologi yang dikembangkan dengan penalaran indera. </w:t>
      </w:r>
      <w:r w:rsidRPr="0063725A">
        <w:rPr>
          <w:rFonts w:ascii="Book Antiqua" w:hAnsi="Book Antiqua" w:cs="Arial"/>
          <w:sz w:val="24"/>
          <w:szCs w:val="24"/>
        </w:rPr>
        <w:t>Kaum empirisme menegaskan bahwa ilmu pengetahuan harus berorientasi pada data sebagai hasil objek dan peristiwa secara empiris yang tidak ada hubungannya dengan presuposisi teoritis apa pun yang telah ditentukan kebenarannya.</w:t>
      </w:r>
    </w:p>
    <w:p w:rsidR="00CD411E" w:rsidRPr="0063725A" w:rsidRDefault="00CD411E" w:rsidP="00CD411E">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lastRenderedPageBreak/>
        <w:t xml:space="preserve">c. Kemanfaatan epistemologi ilmu hukum yang diperoleh dari penalaran indera </w:t>
      </w:r>
    </w:p>
    <w:p w:rsidR="00CD411E" w:rsidRPr="0063725A" w:rsidRDefault="00CD411E" w:rsidP="00CD411E">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Epistemologi ilmu hukum yang dikembangkan dengan sarana penalaran indera dengan objek hukum berupa tradisi kebiasaan yang ada dalam pergaulan hidup di masyarakat memiliki beberapa manfaat: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untuk mengetahuirelasi antara perkembangan hukum dan masyarakat, karena hukum bersumber dari tradisi kebiasaan dan budaya yang terjadi dalam pergaulan hidup di masyarakat yang terus mengalami perubahan;</w:t>
      </w:r>
      <w:r w:rsidRPr="0063725A">
        <w:rPr>
          <w:rFonts w:ascii="Book Antiqua" w:eastAsia="Times New Roman" w:hAnsi="Book Antiqua" w:cs="Arial"/>
          <w:sz w:val="24"/>
          <w:szCs w:val="24"/>
          <w:vertAlign w:val="superscript"/>
        </w:rPr>
        <w:footnoteReference w:id="113"/>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dapat melihat hukum yang sebenarnya sesuai dengan realitas empiris yang dipraktikkan masyarakat, karena hukum dibentuk dari proses mekanisme yang berasal dari bawah ke atas (</w:t>
      </w:r>
      <w:r w:rsidRPr="0063725A">
        <w:rPr>
          <w:rFonts w:ascii="Book Antiqua" w:eastAsia="Times New Roman" w:hAnsi="Book Antiqua" w:cs="Arial"/>
          <w:i/>
          <w:sz w:val="24"/>
          <w:szCs w:val="24"/>
        </w:rPr>
        <w:t>bottom up</w:t>
      </w:r>
      <w:r w:rsidRPr="0063725A">
        <w:rPr>
          <w:rFonts w:ascii="Book Antiqua" w:eastAsia="Times New Roman" w:hAnsi="Book Antiqua" w:cs="Arial"/>
          <w:sz w:val="24"/>
          <w:szCs w:val="24"/>
        </w:rPr>
        <w:t xml:space="preserve">) dan hukum merupakan bagian dari sejarah bangsa yang nilai-nilainya berakar dari kehidupan masyarakat bawah;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dapat memberikan suatu solusi atas permasalahan hukum secara praktis, karena hal ini terkait langsung dengan mekanisme realitas empiris yang dipergunakan masyarakat dalam pergaulan hidup sehari-hari;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tetap terpeliharanya tradisi kebiasaan masyarakat sebagai hukum, karena hukum yang akan berlaku selalu berpijak pada tradisi kebiasaan lama yang dianggap baik dan meskipun terdapat suatu perubahan hal itu merupakan dinamika perkembangan yang bersifat sosial;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xml:space="preserve">, dapat digunakan sebagai bahan untuk menyusun hukum formal yang lebih aspiratif, karena digali dari gambaran hukum yang ada di masyarakat. </w:t>
      </w:r>
    </w:p>
    <w:p w:rsidR="008258F9" w:rsidRDefault="008258F9" w:rsidP="00CD411E">
      <w:pPr>
        <w:spacing w:after="0" w:line="240" w:lineRule="auto"/>
        <w:jc w:val="both"/>
        <w:rPr>
          <w:rFonts w:ascii="Calibri" w:eastAsia="Times New Roman" w:hAnsi="Calibri" w:cs="Arial"/>
          <w:sz w:val="24"/>
          <w:szCs w:val="24"/>
        </w:rPr>
      </w:pPr>
    </w:p>
    <w:p w:rsidR="00CD411E" w:rsidRDefault="00CD411E"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Pr="0030390C" w:rsidRDefault="0063725A"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6</w:t>
      </w:r>
      <w:r w:rsidRPr="0030390C">
        <w:rPr>
          <w:rFonts w:ascii="Book Antiqua" w:hAnsi="Book Antiqua" w:cs="Times New Roman"/>
          <w:b/>
          <w:sz w:val="32"/>
          <w:szCs w:val="32"/>
        </w:rPr>
        <w:t xml:space="preserve"> </w:t>
      </w:r>
      <w:r>
        <w:rPr>
          <w:rFonts w:ascii="Book Antiqua" w:hAnsi="Book Antiqua" w:cs="Times New Roman"/>
          <w:b/>
          <w:sz w:val="32"/>
          <w:szCs w:val="32"/>
        </w:rPr>
        <w:t>Nalar Rasional</w:t>
      </w:r>
    </w:p>
    <w:p w:rsidR="0063725A" w:rsidRDefault="0063725A" w:rsidP="008258F9">
      <w:pPr>
        <w:spacing w:after="0" w:line="240" w:lineRule="auto"/>
        <w:jc w:val="center"/>
        <w:rPr>
          <w:rFonts w:ascii="Book Antiqua" w:hAnsi="Book Antiqua" w:cs="Times New Roman"/>
          <w:b/>
          <w:sz w:val="32"/>
          <w:szCs w:val="32"/>
        </w:rPr>
      </w:pPr>
    </w:p>
    <w:p w:rsidR="00CD6713" w:rsidRDefault="0063725A" w:rsidP="00D72575">
      <w:pPr>
        <w:tabs>
          <w:tab w:val="right" w:leader="dot" w:pos="7938"/>
        </w:tabs>
        <w:spacing w:after="0" w:line="480" w:lineRule="auto"/>
        <w:jc w:val="both"/>
        <w:rPr>
          <w:rFonts w:ascii="Book Antiqua" w:hAnsi="Book Antiqua" w:cs="Arial"/>
          <w:sz w:val="24"/>
          <w:szCs w:val="24"/>
        </w:rPr>
      </w:pPr>
      <w:r>
        <w:rPr>
          <w:rFonts w:ascii="Calibri" w:hAnsi="Calibri" w:cs="Arial"/>
          <w:sz w:val="24"/>
          <w:szCs w:val="24"/>
        </w:rPr>
        <w:tab/>
      </w:r>
      <w:r w:rsidRPr="0063725A">
        <w:rPr>
          <w:rFonts w:ascii="Book Antiqua" w:hAnsi="Book Antiqua" w:cs="Arial"/>
          <w:sz w:val="24"/>
          <w:szCs w:val="24"/>
        </w:rPr>
        <w:t xml:space="preserve">          </w:t>
      </w:r>
      <w:r w:rsidR="00D72575" w:rsidRPr="0063725A">
        <w:rPr>
          <w:rFonts w:ascii="Book Antiqua" w:hAnsi="Book Antiqua" w:cs="Arial"/>
          <w:sz w:val="24"/>
          <w:szCs w:val="24"/>
        </w:rPr>
        <w:t>Plato sebagai tokoh klasik pada jaman Yunani kuno mengemukakan, bahwa indera tidak dapat memberikan pengetahuan yang benar, karena sifatnya berubah-ubah, sehingga kebenarannya tidak dapat dipercaya dan dipastikan. Plato kemudian mengemukakan kebenaran diluar pengetahuan indera yang disebut ide yang bersifat tetap dan kekal. Akal juga dapat mengabstraksikan ide-ide dari benda yang konkret.Pemahaman manusia yang epistemologinya dikembangkan dengan sarana penalaran akal sering disebut sebagai paham rasionalisme. Epistemologi yang dikembangkan dengan sarana penalaran utama akal yang dipahami oleh aliran kaum rasionalisme dalam memperoleh pengetahuan yang benar dengan menggunakan akal dalam menangkap dan mengembangkan ide-ide abstrak yang menurut anggapannya jelas dan dapat diterima.Menurut tokoh rasionalisme modern Rene Descartes, epistemologi yang dikembangkan dengan sarana penalaran akal menghasilkan suatu kebenaran yang pasti, seperti pernyataannya tentang “</w:t>
      </w:r>
      <w:r w:rsidR="00D72575" w:rsidRPr="0063725A">
        <w:rPr>
          <w:rFonts w:ascii="Book Antiqua" w:hAnsi="Book Antiqua" w:cs="Arial"/>
          <w:i/>
          <w:sz w:val="24"/>
          <w:szCs w:val="24"/>
        </w:rPr>
        <w:t>cogito ergo sum”</w:t>
      </w:r>
      <w:r w:rsidR="00D72575" w:rsidRPr="0063725A">
        <w:rPr>
          <w:rFonts w:ascii="Book Antiqua" w:hAnsi="Book Antiqua" w:cs="Arial"/>
          <w:sz w:val="24"/>
          <w:szCs w:val="24"/>
        </w:rPr>
        <w:t xml:space="preserve">. Ide menurut kaum rasionalis merupakan ciptaan pikiran manusia. Prinsip tersebut pada dasarnya sudah ada jauh sebelum manusia berusaha memikirkannya. Fungsi akal manusia hanya mengenali prinsip tersebut yang kemudian menjadikananya pengetahuan yang benar. Prinsip ini sebenarnya sudah ada dan bersifat apriori serta dapat diketahui manusia lewat kemampuan berpikir rasional.Pengalaman sebagaimana dalam epistemologi yang dikembangkan dengan sarana penalaran indera tidak menghasilkan pengetahuan dan justru sebaliknya. Hanya dengan memahami prinsip yang diperoleh melalui penalaran akal rasional, maka manusia dapat mengerti kejadian-kejadian yang berlaku dalam alam sekitar. </w:t>
      </w:r>
      <w:r w:rsidR="00D72575" w:rsidRPr="0063725A">
        <w:rPr>
          <w:rFonts w:ascii="Book Antiqua" w:hAnsi="Book Antiqua" w:cs="Arial"/>
          <w:sz w:val="24"/>
          <w:szCs w:val="24"/>
        </w:rPr>
        <w:lastRenderedPageBreak/>
        <w:t>Ide bersifat apriori dan prapengalaman yang diperoleh manusia melalui cara berpikir yang menggunakan sarana penalaran akal.</w:t>
      </w:r>
      <w:r w:rsidR="00D72575" w:rsidRPr="0063725A">
        <w:rPr>
          <w:rStyle w:val="FootnoteReference"/>
          <w:rFonts w:ascii="Book Antiqua" w:hAnsi="Book Antiqua" w:cs="Arial"/>
          <w:sz w:val="24"/>
          <w:szCs w:val="24"/>
        </w:rPr>
        <w:footnoteReference w:id="114"/>
      </w:r>
    </w:p>
    <w:p w:rsidR="00D72575" w:rsidRPr="0063725A" w:rsidRDefault="00CD6713"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ab/>
        <w:t xml:space="preserve">          </w:t>
      </w:r>
      <w:r w:rsidR="00D72575" w:rsidRPr="0063725A">
        <w:rPr>
          <w:rFonts w:ascii="Book Antiqua" w:eastAsia="Times New Roman" w:hAnsi="Book Antiqua" w:cs="Arial"/>
          <w:sz w:val="24"/>
          <w:szCs w:val="24"/>
        </w:rPr>
        <w:t xml:space="preserve">Akal sebagai sarana penalaran utama untuk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filsuf Islam. Manusia dengan akal dapat memahami kebenaran yang bersifat abstrak dan objektif dari realitas fisik (lahiriah) yang tertangkap indera. Dalam al-Qur’an terdapat beberapa ayat yang menjelaskan terkait akal sebagai sarana penalaran untuk mengembangkan epistemologi manusia, seperti terdapat dalam Q.S al-Baqarah ayat 242; </w:t>
      </w:r>
      <w:r w:rsidR="00D72575" w:rsidRPr="0063725A">
        <w:rPr>
          <w:rFonts w:ascii="Book Antiqua" w:eastAsia="Times New Roman" w:hAnsi="Book Antiqua" w:cs="Arial"/>
          <w:i/>
          <w:sz w:val="24"/>
          <w:szCs w:val="24"/>
        </w:rPr>
        <w:t>“Demikianlah Allah menerangkan kepadamu ayat-ayat-Nya (hukum-hukum-Nya) supaya kamu memahaminya”</w:t>
      </w:r>
      <w:r w:rsidR="00D72575" w:rsidRPr="0063725A">
        <w:rPr>
          <w:rFonts w:ascii="Book Antiqua" w:eastAsia="Times New Roman" w:hAnsi="Book Antiqua" w:cs="Arial"/>
          <w:sz w:val="24"/>
          <w:szCs w:val="24"/>
        </w:rPr>
        <w:t xml:space="preserve"> dan Ali Imran ayat 65; </w:t>
      </w:r>
      <w:r w:rsidR="00D72575" w:rsidRPr="0063725A">
        <w:rPr>
          <w:rFonts w:ascii="Book Antiqua" w:eastAsia="Times New Roman" w:hAnsi="Book Antiqua" w:cs="Arial"/>
          <w:i/>
          <w:sz w:val="24"/>
          <w:szCs w:val="24"/>
        </w:rPr>
        <w:t>“Hai Ahli Kitab, mengapa kamu bantah membantah tentang hal Ibrahim, padahal Taurat dan Injil tidak diturunkan melainkan sesudah Ibrahim, apakah kamu tidak berpikir”.</w:t>
      </w:r>
      <w:r w:rsidR="00D72575" w:rsidRPr="0063725A">
        <w:rPr>
          <w:rFonts w:ascii="Book Antiqua" w:eastAsia="Times New Roman" w:hAnsi="Book Antiqua" w:cs="Arial"/>
          <w:sz w:val="24"/>
          <w:szCs w:val="24"/>
        </w:rPr>
        <w:t xml:space="preserve"> Seseorang yang berpikir dengan berdasar pada akal, maka pada akhirnya ia akan merasakan bahwa seluruh alam semesta, termasuk dirinya adalah diciptakan oleh sebuah kekuatan yang maha kreatif,</w:t>
      </w:r>
      <w:r w:rsidR="00D72575" w:rsidRPr="0063725A">
        <w:rPr>
          <w:rStyle w:val="FootnoteReference"/>
          <w:rFonts w:ascii="Book Antiqua" w:eastAsia="Times New Roman" w:hAnsi="Book Antiqua" w:cs="Arial"/>
          <w:sz w:val="24"/>
          <w:szCs w:val="24"/>
        </w:rPr>
        <w:footnoteReference w:id="115"/>
      </w:r>
      <w:r w:rsidR="00D72575" w:rsidRPr="0063725A">
        <w:rPr>
          <w:rFonts w:ascii="Book Antiqua" w:eastAsia="Times New Roman" w:hAnsi="Book Antiqua" w:cs="Arial"/>
          <w:sz w:val="24"/>
          <w:szCs w:val="24"/>
        </w:rPr>
        <w:t xml:space="preserve"> seperti dijelaskan dalam Q.S Ali Imran ayat 191; </w:t>
      </w:r>
      <w:r w:rsidR="00D72575" w:rsidRPr="0063725A">
        <w:rPr>
          <w:rFonts w:ascii="Book Antiqua" w:eastAsia="Times New Roman" w:hAnsi="Book Antiqua" w:cs="Arial"/>
          <w:i/>
          <w:sz w:val="24"/>
          <w:szCs w:val="24"/>
        </w:rPr>
        <w:t>“Dan mereka memikirkan tentang penciptaan langit dan bumi (seraya berkata); Ya Tuhan kami, tiadalah Engkau menciptakan ini dengan sia-sia. Maha Suci Engkau, maka peliharalah kami dari siksa neraka”.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eastAsia="Times New Roman" w:hAnsi="Book Antiqua" w:cs="Arial"/>
          <w:sz w:val="24"/>
          <w:szCs w:val="24"/>
        </w:rPr>
        <w:t xml:space="preserve">Al-Farabi adalah diantara tokoh filsuf Islam yang mengemukakan tentang epistemologi yang dikembangkan dengan sarana penalaran akal. Akal dalam proses </w:t>
      </w:r>
      <w:r w:rsidRPr="0063725A">
        <w:rPr>
          <w:rFonts w:ascii="Book Antiqua" w:eastAsia="Times New Roman" w:hAnsi="Book Antiqua" w:cs="Arial"/>
          <w:sz w:val="24"/>
          <w:szCs w:val="24"/>
        </w:rPr>
        <w:lastRenderedPageBreak/>
        <w:t xml:space="preserve">epistemologi menurut Al-Farabi terbagi dalam tiga tingkatan;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akal potensial yang bersifat normal biasa;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akal aktual sebagai daya ilmiah;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akal </w:t>
      </w:r>
      <w:r w:rsidRPr="0063725A">
        <w:rPr>
          <w:rFonts w:ascii="Book Antiqua" w:eastAsia="Times New Roman" w:hAnsi="Book Antiqua" w:cs="Arial"/>
          <w:i/>
          <w:sz w:val="24"/>
          <w:szCs w:val="24"/>
        </w:rPr>
        <w:t xml:space="preserve">mustafad </w:t>
      </w:r>
      <w:r w:rsidRPr="0063725A">
        <w:rPr>
          <w:rFonts w:ascii="Book Antiqua" w:eastAsia="Times New Roman" w:hAnsi="Book Antiqua" w:cs="Arial"/>
          <w:sz w:val="24"/>
          <w:szCs w:val="24"/>
        </w:rPr>
        <w:t>yang mampu menangkap hubungan dengan Tuhan yang hanya dimiliki oleh para Nabi dan filsuf.</w:t>
      </w:r>
      <w:r w:rsidRPr="0063725A">
        <w:rPr>
          <w:rStyle w:val="FootnoteReference"/>
          <w:rFonts w:ascii="Book Antiqua" w:eastAsia="Times New Roman" w:hAnsi="Book Antiqua" w:cs="Arial"/>
          <w:sz w:val="24"/>
          <w:szCs w:val="24"/>
        </w:rPr>
        <w:footnoteReference w:id="116"/>
      </w:r>
      <w:r w:rsidRPr="0063725A">
        <w:rPr>
          <w:rFonts w:ascii="Book Antiqua" w:eastAsia="Times New Roman" w:hAnsi="Book Antiqua" w:cs="Arial"/>
          <w:sz w:val="24"/>
          <w:szCs w:val="24"/>
        </w:rPr>
        <w:t xml:space="preserve"> Senada dengan hal itu, Ibnu Sina mengemukakan tentang ajaran berkisar yang pada penciptaan dan akal yang aktif. Menurutnya Tuhan adalah satu-satunya pengetahuan dari akal yang murni dan kebaikan sejati, sehingga ada-Nya merupakan suatu keharusan.</w:t>
      </w:r>
      <w:r w:rsidRPr="0063725A">
        <w:rPr>
          <w:rStyle w:val="FootnoteReference"/>
          <w:rFonts w:ascii="Book Antiqua" w:eastAsia="Times New Roman" w:hAnsi="Book Antiqua" w:cs="Arial"/>
          <w:sz w:val="24"/>
          <w:szCs w:val="24"/>
        </w:rPr>
        <w:footnoteReference w:id="117"/>
      </w:r>
      <w:r w:rsidRPr="0063725A">
        <w:rPr>
          <w:rFonts w:ascii="Book Antiqua" w:eastAsia="Times New Roman" w:hAnsi="Book Antiqua" w:cs="Arial"/>
          <w:sz w:val="24"/>
          <w:szCs w:val="24"/>
        </w:rPr>
        <w:t xml:space="preserve"> Ibnu Bajjah dan al-Kindi sebagai filsuf rasionalis menempatkan akal pada kedudukan yang tinggi,</w:t>
      </w:r>
      <w:r w:rsidRPr="0063725A">
        <w:rPr>
          <w:rStyle w:val="FootnoteReference"/>
          <w:rFonts w:ascii="Book Antiqua" w:eastAsia="Times New Roman" w:hAnsi="Book Antiqua" w:cs="Arial"/>
          <w:sz w:val="24"/>
          <w:szCs w:val="24"/>
        </w:rPr>
        <w:footnoteReference w:id="118"/>
      </w:r>
      <w:r w:rsidRPr="0063725A">
        <w:rPr>
          <w:rFonts w:ascii="Book Antiqua" w:eastAsia="Times New Roman" w:hAnsi="Book Antiqua" w:cs="Arial"/>
          <w:sz w:val="24"/>
          <w:szCs w:val="24"/>
        </w:rPr>
        <w:t xml:space="preserve"> karena akal dapat menghasilkan logika rasional untuk menggali dan menemukan kebenaran ilmu pengetahuan.</w:t>
      </w:r>
      <w:r w:rsidRPr="0063725A">
        <w:rPr>
          <w:rStyle w:val="FootnoteReference"/>
          <w:rFonts w:ascii="Book Antiqua" w:eastAsia="Times New Roman" w:hAnsi="Book Antiqua" w:cs="Arial"/>
          <w:sz w:val="24"/>
          <w:szCs w:val="24"/>
        </w:rPr>
        <w:footnoteReference w:id="119"/>
      </w:r>
      <w:r w:rsidRPr="0063725A">
        <w:rPr>
          <w:rFonts w:ascii="Book Antiqua" w:eastAsia="Times New Roman" w:hAnsi="Book Antiqua" w:cs="Arial"/>
          <w:sz w:val="24"/>
          <w:szCs w:val="24"/>
        </w:rPr>
        <w:t xml:space="preserve">Pengetahuan yang paling tinggi dan benar menurut Ibn Bajjah adalah yang terbebas dari unsur-unsur materi dan dasarsarana penalaran ilmu pengetahuan adalah akal aktif, akal </w:t>
      </w:r>
      <w:r w:rsidRPr="0063725A">
        <w:rPr>
          <w:rFonts w:ascii="Book Antiqua" w:eastAsia="Times New Roman" w:hAnsi="Book Antiqua" w:cs="Arial"/>
          <w:i/>
          <w:sz w:val="24"/>
          <w:szCs w:val="24"/>
        </w:rPr>
        <w:t>mustafad</w:t>
      </w:r>
      <w:r w:rsidRPr="0063725A">
        <w:rPr>
          <w:rFonts w:ascii="Book Antiqua" w:eastAsia="Times New Roman" w:hAnsi="Book Antiqua" w:cs="Arial"/>
          <w:sz w:val="24"/>
          <w:szCs w:val="24"/>
        </w:rPr>
        <w:t xml:space="preserve"> dan akal manusia. Pengetahuan akal menurut Ibn Bajjah dibedakan menjadi tiga tingkatan karena perbedaan kecerdasan manusia;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para Nabi yang merupakan tingkat paling tinggi karena dengan karunia Tuhan tanpa dilatih bisa memperoleh pengetahuan;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para sahabat dan orang-orang shaleh;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orang yang mendapat karunia Tuhan, dengan akal setapak demi setapak dapat memperoleh pengetahuan.</w:t>
      </w:r>
      <w:r w:rsidRPr="0063725A">
        <w:rPr>
          <w:rStyle w:val="FootnoteReference"/>
          <w:rFonts w:ascii="Book Antiqua" w:eastAsia="Times New Roman" w:hAnsi="Book Antiqua" w:cs="Arial"/>
          <w:sz w:val="24"/>
          <w:szCs w:val="24"/>
        </w:rPr>
        <w:footnoteReference w:id="120"/>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Ibn Thufail senada dengan itu membagi perkembangan alam pikiran manusia menuju hakikat kebenaran menjadi enam bagian;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dengan cara </w:t>
      </w:r>
      <w:r w:rsidRPr="0063725A">
        <w:rPr>
          <w:rFonts w:ascii="Book Antiqua" w:eastAsia="Times New Roman" w:hAnsi="Book Antiqua" w:cs="Arial"/>
          <w:i/>
          <w:sz w:val="24"/>
          <w:szCs w:val="24"/>
        </w:rPr>
        <w:t>ilmu Hayy Ibn Yaqzan</w:t>
      </w:r>
      <w:r w:rsidRPr="0063725A">
        <w:rPr>
          <w:rFonts w:ascii="Book Antiqua" w:eastAsia="Times New Roman" w:hAnsi="Book Antiqua" w:cs="Arial"/>
          <w:sz w:val="24"/>
          <w:szCs w:val="24"/>
        </w:rPr>
        <w:t xml:space="preserve">, yaitu dengan kekuatan akal sendiri memperhatikan perkembangan alam </w:t>
      </w:r>
      <w:r w:rsidRPr="0063725A">
        <w:rPr>
          <w:rFonts w:ascii="Book Antiqua" w:eastAsia="Times New Roman" w:hAnsi="Book Antiqua" w:cs="Arial"/>
          <w:sz w:val="24"/>
          <w:szCs w:val="24"/>
        </w:rPr>
        <w:lastRenderedPageBreak/>
        <w:t xml:space="preserve">makhluk bahwa tiap-tiap kejadian pasti ada penyebabnya;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dengan cara pemikiran </w:t>
      </w:r>
      <w:r w:rsidRPr="0063725A">
        <w:rPr>
          <w:rFonts w:ascii="Book Antiqua" w:eastAsia="Times New Roman" w:hAnsi="Book Antiqua" w:cs="Arial"/>
          <w:i/>
          <w:sz w:val="24"/>
          <w:szCs w:val="24"/>
        </w:rPr>
        <w:t>Hayy Ibn Yaqzan</w:t>
      </w:r>
      <w:r w:rsidRPr="0063725A">
        <w:rPr>
          <w:rFonts w:ascii="Book Antiqua" w:eastAsia="Times New Roman" w:hAnsi="Book Antiqua" w:cs="Arial"/>
          <w:sz w:val="24"/>
          <w:szCs w:val="24"/>
        </w:rPr>
        <w:t xml:space="preserve"> terhadap teraturnya peredaran benda-benda besar di langit;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dengan memikirkan puncak kebahagiaan seseorang itu ialah menyaksikan </w:t>
      </w:r>
      <w:r w:rsidRPr="0063725A">
        <w:rPr>
          <w:rFonts w:ascii="Book Antiqua" w:eastAsia="Times New Roman" w:hAnsi="Book Antiqua" w:cs="Arial"/>
          <w:i/>
          <w:sz w:val="24"/>
          <w:szCs w:val="24"/>
        </w:rPr>
        <w:t>wajibul wujud</w:t>
      </w:r>
      <w:r w:rsidRPr="0063725A">
        <w:rPr>
          <w:rFonts w:ascii="Book Antiqua" w:eastAsia="Times New Roman" w:hAnsi="Book Antiqua" w:cs="Arial"/>
          <w:sz w:val="24"/>
          <w:szCs w:val="24"/>
        </w:rPr>
        <w:t xml:space="preserve"> yang Maha Esa;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dengan memikirkan bahwa manusia sebagian dari makhluk hewani, tetapi dijadikan Tuhan untuk kepentingan-kepentingan yang lebih tinggi dan utama daripada hewan;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xml:space="preserve">, dengan memikirkan bagian manusia dan keselamatan dari kebinasaan hanyalah terdapat pengekalan penyaksiannya terhadap Tuhan </w:t>
      </w:r>
      <w:r w:rsidRPr="0063725A">
        <w:rPr>
          <w:rFonts w:ascii="Book Antiqua" w:eastAsia="Times New Roman" w:hAnsi="Book Antiqua" w:cs="Arial"/>
          <w:i/>
          <w:sz w:val="24"/>
          <w:szCs w:val="24"/>
        </w:rPr>
        <w:t>wajibul wujud</w:t>
      </w:r>
      <w:r w:rsidRPr="0063725A">
        <w:rPr>
          <w:rFonts w:ascii="Book Antiqua" w:eastAsia="Times New Roman" w:hAnsi="Book Antiqua" w:cs="Arial"/>
          <w:sz w:val="24"/>
          <w:szCs w:val="24"/>
        </w:rPr>
        <w:t xml:space="preserve">; </w:t>
      </w:r>
      <w:r w:rsidRPr="0063725A">
        <w:rPr>
          <w:rFonts w:ascii="Book Antiqua" w:eastAsia="Times New Roman" w:hAnsi="Book Antiqua" w:cs="Arial"/>
          <w:i/>
          <w:sz w:val="24"/>
          <w:szCs w:val="24"/>
        </w:rPr>
        <w:t>keenam</w:t>
      </w:r>
      <w:r w:rsidRPr="0063725A">
        <w:rPr>
          <w:rFonts w:ascii="Book Antiqua" w:eastAsia="Times New Roman" w:hAnsi="Book Antiqua" w:cs="Arial"/>
          <w:sz w:val="24"/>
          <w:szCs w:val="24"/>
        </w:rPr>
        <w:t>, mengakui bahwa manusia dan alam makhluk ini fana dan semua kembali pada Tuhan.</w:t>
      </w:r>
      <w:r w:rsidRPr="0063725A">
        <w:rPr>
          <w:rStyle w:val="FootnoteReference"/>
          <w:rFonts w:ascii="Book Antiqua" w:eastAsia="Times New Roman" w:hAnsi="Book Antiqua" w:cs="Arial"/>
          <w:sz w:val="24"/>
          <w:szCs w:val="24"/>
        </w:rPr>
        <w:footnoteReference w:id="121"/>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Menurut Ibn Rusyd, ilmu pengetahuan adalah pengenalan tentang objek berkaitan dengan sebab dan prinsip yang melingkupinya. Objek pengetahuan dapat berupa objek rasional yang merupakan substansi dari objek inderawi, yaitu esensi dan bentuk-bentuknya. Objek rasional selanjutnya melahirkan disiplin ilmu filsafat.</w:t>
      </w:r>
      <w:r w:rsidRPr="0063725A">
        <w:rPr>
          <w:rStyle w:val="FootnoteReference"/>
          <w:rFonts w:ascii="Book Antiqua" w:eastAsia="Times New Roman" w:hAnsi="Book Antiqua" w:cs="Arial"/>
          <w:sz w:val="24"/>
          <w:szCs w:val="24"/>
        </w:rPr>
        <w:footnoteReference w:id="122"/>
      </w:r>
      <w:r w:rsidRPr="0063725A">
        <w:rPr>
          <w:rFonts w:ascii="Book Antiqua" w:eastAsia="Times New Roman" w:hAnsi="Book Antiqua" w:cs="Arial"/>
          <w:sz w:val="24"/>
          <w:szCs w:val="24"/>
        </w:rPr>
        <w:t xml:space="preserve"> Ibnu Rusyd pendapatnya banyak membuat komentar tentang ajaran Aristoteles yang condong kepada aliran Neo Platonisme Arab dan terkenal dengan ajarannya mengenai keabadian dunia. lbn Rusyd berkeyakinan bahwa akal dan wahyu tidak bertentangan. Keduanya sama-sama membawa kebenaran, karena tugas filsafat adalah berfikir tentang wujud untuk mengetahui pencipta semua yang ada ini.</w:t>
      </w:r>
      <w:r w:rsidRPr="0063725A">
        <w:rPr>
          <w:rStyle w:val="FootnoteReference"/>
          <w:rFonts w:ascii="Book Antiqua" w:eastAsia="Times New Roman" w:hAnsi="Book Antiqua" w:cs="Arial"/>
          <w:sz w:val="24"/>
          <w:szCs w:val="24"/>
        </w:rPr>
        <w:footnoteReference w:id="123"/>
      </w:r>
      <w:r w:rsidRPr="0063725A">
        <w:rPr>
          <w:rFonts w:ascii="Book Antiqua" w:eastAsia="Times New Roman" w:hAnsi="Book Antiqua" w:cs="Arial"/>
          <w:sz w:val="24"/>
          <w:szCs w:val="24"/>
        </w:rPr>
        <w:t xml:space="preserve"> Ibn Rusyd berpendapat bahwa, berfilsafat wajib atau sekurang-kurangnya sunat dan apabila akal bertentangan dengan wahyu, maka teks wahyu harus diberi interpretasi begitu rupa sehingga sesuai dengan pemahaman akal.</w:t>
      </w:r>
      <w:r w:rsidRPr="0063725A">
        <w:rPr>
          <w:rStyle w:val="FootnoteReference"/>
          <w:rFonts w:ascii="Book Antiqua" w:eastAsia="Times New Roman" w:hAnsi="Book Antiqua" w:cs="Arial"/>
          <w:sz w:val="24"/>
          <w:szCs w:val="24"/>
        </w:rPr>
        <w:footnoteReference w:id="124"/>
      </w:r>
      <w:r w:rsidRPr="0063725A">
        <w:rPr>
          <w:rFonts w:ascii="Book Antiqua" w:eastAsia="Times New Roman" w:hAnsi="Book Antiqua" w:cs="Arial"/>
          <w:sz w:val="24"/>
          <w:szCs w:val="24"/>
        </w:rPr>
        <w:t xml:space="preserve"> Abu Bisyr </w:t>
      </w:r>
      <w:r w:rsidRPr="0063725A">
        <w:rPr>
          <w:rFonts w:ascii="Book Antiqua" w:eastAsia="Times New Roman" w:hAnsi="Book Antiqua" w:cs="Arial"/>
          <w:sz w:val="24"/>
          <w:szCs w:val="24"/>
        </w:rPr>
        <w:lastRenderedPageBreak/>
        <w:t xml:space="preserve">Matta seorang filsuf ahli logika penganut </w:t>
      </w:r>
      <w:r w:rsidRPr="0063725A">
        <w:rPr>
          <w:rFonts w:ascii="Book Antiqua" w:eastAsia="Times New Roman" w:hAnsi="Book Antiqua" w:cs="Arial"/>
          <w:i/>
          <w:sz w:val="24"/>
          <w:szCs w:val="24"/>
        </w:rPr>
        <w:t xml:space="preserve">burhani </w:t>
      </w:r>
      <w:r w:rsidRPr="0063725A">
        <w:rPr>
          <w:rFonts w:ascii="Book Antiqua" w:eastAsia="Times New Roman" w:hAnsi="Book Antiqua" w:cs="Arial"/>
          <w:sz w:val="24"/>
          <w:szCs w:val="24"/>
        </w:rPr>
        <w:t>mengemukakan, bahwa logika lebih dulu muncul daripada kata atau bahasa,</w:t>
      </w:r>
      <w:r w:rsidRPr="0063725A">
        <w:rPr>
          <w:rStyle w:val="FootnoteReference"/>
          <w:rFonts w:ascii="Book Antiqua" w:eastAsia="Times New Roman" w:hAnsi="Book Antiqua" w:cs="Arial"/>
          <w:sz w:val="24"/>
          <w:szCs w:val="24"/>
        </w:rPr>
        <w:footnoteReference w:id="125"/>
      </w:r>
      <w:r w:rsidRPr="0063725A">
        <w:rPr>
          <w:rFonts w:ascii="Book Antiqua" w:eastAsia="Times New Roman" w:hAnsi="Book Antiqua" w:cs="Arial"/>
          <w:sz w:val="24"/>
          <w:szCs w:val="24"/>
        </w:rPr>
        <w:t xml:space="preserve"> artinya logika yang berasal dari akal digunakan untuk menggagali dan memperoleh kebenaran pengetahuan. Akal, juga mampu menangkap konsep mental dan intelektual yang bersifat non fisik dari data-data yang ditangkap oleh indera.</w:t>
      </w:r>
      <w:r w:rsidRPr="0063725A">
        <w:rPr>
          <w:rStyle w:val="FootnoteReference"/>
          <w:rFonts w:ascii="Book Antiqua" w:eastAsia="Times New Roman" w:hAnsi="Book Antiqua" w:cs="Arial"/>
          <w:sz w:val="24"/>
          <w:szCs w:val="24"/>
        </w:rPr>
        <w:footnoteReference w:id="126"/>
      </w:r>
    </w:p>
    <w:p w:rsidR="00D72575" w:rsidRPr="0063725A" w:rsidRDefault="00A9337F" w:rsidP="00D72575">
      <w:pPr>
        <w:tabs>
          <w:tab w:val="right" w:leader="dot" w:pos="7938"/>
        </w:tabs>
        <w:spacing w:after="0" w:line="480" w:lineRule="auto"/>
        <w:jc w:val="both"/>
        <w:rPr>
          <w:rFonts w:ascii="Book Antiqua" w:eastAsia="Times New Roman"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Menurut al-Jabiri yang dikutip dari pemahaman al-Farabi, menyatakan bahwa dalam aktifitas berpikir untuk menetapkan kebenaran proposisi, akal dapat melalui pendekatan deduktif dengan mengaitkan proposisi yang satu dengan yang lain yang telah terbukti kebenarannya secara aksiomatik. Prinsip logika akal hampir sama dengan metode analitik yang disampaikan oleh Aristoteles, yaitu suatu cara berpikir (pengambilan keputusan) yang didasarkan pada proposisi tertentu dengan mengambil beberapa kategori sebagai objek kajiannya. Metode untuk memperoleh kebenaran ilmu pengetahuan melalui akal dapat dilakukan dengan prinsip silogisme, yaitu suatu bentuk argumen dimana dua proposisi (premis) dirujukkan bersama sedemikian rupa sehingga sebuah keputusan (konklusi) pasti menyertai. Menurut al-Jabiri yang dikutip dari al-Farabi, ada tiga tahapan dalam melakukan silogisme.</w:t>
      </w:r>
      <w:r w:rsidR="00D72575" w:rsidRPr="0063725A">
        <w:rPr>
          <w:rStyle w:val="FootnoteReference"/>
          <w:rFonts w:ascii="Book Antiqua" w:hAnsi="Book Antiqua" w:cs="Arial"/>
          <w:sz w:val="24"/>
          <w:szCs w:val="24"/>
        </w:rPr>
        <w:footnoteReference w:id="127"/>
      </w:r>
      <w:r w:rsidR="00D72575" w:rsidRPr="0063725A">
        <w:rPr>
          <w:rFonts w:ascii="Book Antiqua" w:hAnsi="Book Antiqua" w:cs="Arial"/>
          <w:i/>
          <w:sz w:val="24"/>
          <w:szCs w:val="24"/>
        </w:rPr>
        <w:t>Pertama;</w:t>
      </w:r>
      <w:r w:rsidR="00D72575" w:rsidRPr="0063725A">
        <w:rPr>
          <w:rFonts w:ascii="Book Antiqua" w:hAnsi="Book Antiqua" w:cs="Arial"/>
          <w:sz w:val="24"/>
          <w:szCs w:val="24"/>
        </w:rPr>
        <w:t xml:space="preserve"> tahap pengertian, merupakan proses abstraksi atas objek eksternal yang masuk kedalam akal. Akal adalah metode yang paling baik dan unggul, karena konsep intelektual akal diambil dari objek eksternal yang ditangkap oleh indera.</w:t>
      </w:r>
      <w:r w:rsidR="00D72575" w:rsidRPr="0063725A">
        <w:rPr>
          <w:rStyle w:val="FootnoteReference"/>
          <w:rFonts w:ascii="Book Antiqua" w:hAnsi="Book Antiqua" w:cs="Arial"/>
          <w:sz w:val="24"/>
          <w:szCs w:val="24"/>
        </w:rPr>
        <w:footnoteReference w:id="128"/>
      </w:r>
      <w:r w:rsidR="00D72575" w:rsidRPr="0063725A">
        <w:rPr>
          <w:rFonts w:ascii="Book Antiqua" w:hAnsi="Book Antiqua" w:cs="Arial"/>
          <w:i/>
          <w:sz w:val="24"/>
          <w:szCs w:val="24"/>
        </w:rPr>
        <w:t>Kedua;</w:t>
      </w:r>
      <w:r w:rsidR="00D72575" w:rsidRPr="0063725A">
        <w:rPr>
          <w:rFonts w:ascii="Book Antiqua" w:hAnsi="Book Antiqua" w:cs="Arial"/>
          <w:sz w:val="24"/>
          <w:szCs w:val="24"/>
        </w:rPr>
        <w:t xml:space="preserve"> tahap pernyataan, merupakan proses pembentukan kalimat atau proposisi (premis) atas pengertian yang ada, disinilah terjadinya gambaran </w:t>
      </w:r>
      <w:r w:rsidR="00D72575" w:rsidRPr="0063725A">
        <w:rPr>
          <w:rFonts w:ascii="Book Antiqua" w:hAnsi="Book Antiqua" w:cs="Arial"/>
          <w:sz w:val="24"/>
          <w:szCs w:val="24"/>
        </w:rPr>
        <w:lastRenderedPageBreak/>
        <w:t>atau persepsi dalam akal. Dalam proposisi ini harus memuat unsur subjek dan predikat serta adanya relasi diantara keduanya, sehingga dari itu lahir satu pengertian dan kebenaran, yakni adanya kesesuaian dengan objek.</w:t>
      </w:r>
      <w:r w:rsidR="00D72575" w:rsidRPr="0063725A">
        <w:rPr>
          <w:rStyle w:val="FootnoteReference"/>
          <w:rFonts w:ascii="Book Antiqua" w:hAnsi="Book Antiqua" w:cs="Arial"/>
          <w:sz w:val="24"/>
          <w:szCs w:val="24"/>
        </w:rPr>
        <w:footnoteReference w:id="129"/>
      </w:r>
      <w:r w:rsidR="00D72575" w:rsidRPr="0063725A">
        <w:rPr>
          <w:rFonts w:ascii="Book Antiqua" w:hAnsi="Book Antiqua" w:cs="Arial"/>
          <w:i/>
          <w:sz w:val="24"/>
          <w:szCs w:val="24"/>
        </w:rPr>
        <w:t>Ketiga;</w:t>
      </w:r>
      <w:r w:rsidR="00D72575" w:rsidRPr="0063725A">
        <w:rPr>
          <w:rFonts w:ascii="Book Antiqua" w:hAnsi="Book Antiqua" w:cs="Arial"/>
          <w:sz w:val="24"/>
          <w:szCs w:val="24"/>
        </w:rPr>
        <w:t xml:space="preserve"> tahap penalaran, merupakan proses pengambilan kesimpulan berdasarkan atas hubungan diantara premis-premis yang ada, disinilah terjadi silogisme.</w:t>
      </w:r>
      <w:r w:rsidR="00D72575" w:rsidRPr="0063725A">
        <w:rPr>
          <w:rStyle w:val="FootnoteReference"/>
          <w:rFonts w:ascii="Book Antiqua" w:hAnsi="Book Antiqua" w:cs="Arial"/>
          <w:sz w:val="24"/>
          <w:szCs w:val="24"/>
        </w:rPr>
        <w:footnoteReference w:id="130"/>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Epistemologi yang dikembangkan dengan sarana penalaran utama akal, seperti paham rasionalismedalam memperoleh pengetahuan melalui metode penalaran deduktif. Menurut Melvin Marx, metode penalaran deduksi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dilakukan.Metode penalaran deduktif sebagai cara berpikir dimana dari pernyataan yang 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sebagai premis mayor dan minor. Kesimpulan merupakan pengetahuan yang diperoleh dari penalaran deduktif berdasarkan kedua premis tersebut.</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Seperti contoh;</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Semua mahluk hidup akan mati (premis mayor)</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adalah mahluk hidup (premis minor)</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Plato akan mati (kesimpulan)</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pengetahuan yang benar menurut epistemologi yang dikembangkan dengan sarana penalaran akal melalui metode deduktif karena telah sesuai dengan dua pernyataan premis mayor dan minor.Sebuah kesimpulan dikatakan benar dapat dilihat dan dikembalikan pada kebenaran premis yang mendukungnya, jika kedua premis yang mendukungnya adalah benar maka dapat dipastikan bahwa kesimpulan yang dihasilkan adalah benar. Akan tetapi dalam keadaan tertentu kesimpulan yang dihasilkan salah meskipun kedua premisnya benar, berarti cara penarikan kesimpulan yang tidak sah. Oleh karena itu, kebenaran kesimpulan sangat dipengaruhi oleh kebenaran premis mayor dan minor serta keabsahan cara pengambilan kesimpulan. Dalam penalaran deduktif kesimpulan yang berupa pengetahuan baru pada hakekatnya bukan merupakan pengetahuan baru dalam arti yang sebenarnya, melainkan sekedar konsekuensi dari dua pengetahuan yang sudah diketahui kebenarannya.Hal ini seperti dikemukakan oleh Ludwing von Wiittgenstein, bahwa tidak ada pengetahuan baru dalam penalaran logika deduktif, karena pengetahuan yang diperoleh merupakan kebenaran yang bersifat </w:t>
      </w:r>
      <w:r w:rsidRPr="0063725A">
        <w:rPr>
          <w:rFonts w:ascii="Book Antiqua" w:hAnsi="Book Antiqua" w:cs="Arial"/>
          <w:i/>
          <w:sz w:val="24"/>
          <w:szCs w:val="24"/>
        </w:rPr>
        <w:t>tautologis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31"/>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hAnsi="Book Antiqua" w:cs="Arial"/>
          <w:sz w:val="24"/>
          <w:szCs w:val="24"/>
        </w:rPr>
        <w:t xml:space="preserve">Koherensi atau konsistensi digunakan untuk mengukur validitas dan keabsahan kebenaran yang dihasilkan dari metode penalaran deduktif, yaitu dengan memahami suatu pernyataan dianggap benar jika pernyataan tersebut bersifat koheren atau konsisten dengan pernyataan-pernyataan sebelumnya yang telah dianggap benar seperti telah dicontohkan diatas. Koheren dan konsisten menjadi cara yang penting untuk menentukan kebenaran dalam epistemologi yang </w:t>
      </w:r>
      <w:r w:rsidRPr="0063725A">
        <w:rPr>
          <w:rFonts w:ascii="Book Antiqua" w:hAnsi="Book Antiqua" w:cs="Arial"/>
          <w:sz w:val="24"/>
          <w:szCs w:val="24"/>
        </w:rPr>
        <w:lastRenderedPageBreak/>
        <w:t>dikembangkan dengan sarana penalaran akal. Sistem ilmu pengetahuan yang sifatnya mengandung unsur kepastian disusun atas beberapa dasar pernyataan yang dianggap benar, dengan menggunakan beberapa aksioma maka disusun suatu teorema, diatas teorema maka dikembangkan kaidah-kaidah ilmu yang secara keseluruhan merupakan sebuah sistem yang bersifat pasti dan konsisten.Sesuatu dikatakan benarapabilabersifat konsisten dengan yang lain yang telah diterima kebenarannya. Kebenaran merupakan sifat dasar yang dimiliki ide, apapun yangdiketahui selalu berupa ide. Sebagaimana yang terdapat dalam dirinya yang bersifat lahiriah, karena logika akal yang menemukan ketertiban, tatanan serta sistem dalam kenyataan hidup.</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9337F">
        <w:rPr>
          <w:rFonts w:ascii="Book Antiqua" w:hAnsi="Book Antiqua" w:cs="Arial"/>
          <w:sz w:val="24"/>
          <w:szCs w:val="24"/>
        </w:rPr>
        <w:t xml:space="preserve">          </w:t>
      </w:r>
      <w:r w:rsidRPr="0063725A">
        <w:rPr>
          <w:rFonts w:ascii="Book Antiqua" w:hAnsi="Book Antiqua" w:cs="Arial"/>
          <w:sz w:val="24"/>
          <w:szCs w:val="24"/>
        </w:rPr>
        <w:t xml:space="preserve">Epistemologi yang dikembangkan dengan sarana penalaran utama akal melalui metode penalaran deduktif dan uji validitas koherensi pada dasarnya mengandung suatu permasalahan. Permasalahan utama yang timbul adalah mengenai kriteria untuk mengetahui kebenaran dari suatu ide yang menurut seseorang adalah jelas dan dapat dipercaya. Suatu ide bagi orang tertentu merupakan prinsip yang jelas dan dapat dipercaya, tetapi belum tentu bagi orang lain, sehingga menimbulkan permasalahan terhadap evaluasi dari kebenaran premis-premis yang digunakan dalam penalaran deduktif. Hal ini terjadi, karena premis-premis bersumber dari penalaran rasional akal yang bersifat abstrak dan terbatas dari pengalaman tertentu. Oleh karena itu, akan diperoleh bermacam-macam pengetahuan mengenai suatu objek tertentu tanpa adanya suatu konsensus yang dapat diterima oleh semua pihak. Seperti ide tentang kebebasan yang hanya diterima oleh kaum liberalisme dan ide tentang persamaan komunal yang hanya </w:t>
      </w:r>
      <w:r w:rsidRPr="0063725A">
        <w:rPr>
          <w:rFonts w:ascii="Book Antiqua" w:hAnsi="Book Antiqua" w:cs="Arial"/>
          <w:sz w:val="24"/>
          <w:szCs w:val="24"/>
        </w:rPr>
        <w:lastRenderedPageBreak/>
        <w:t xml:space="preserve">diterima oleh kaum sosialisme. Hasil epistemologi yang dikembangkan dengan sarana penalaran akal dengan metode deduktif lebih cenderungmenghasilkan kebenaran yang bersifat subjektif dan </w:t>
      </w:r>
      <w:r w:rsidRPr="0063725A">
        <w:rPr>
          <w:rFonts w:ascii="Book Antiqua" w:hAnsi="Book Antiqua" w:cs="Arial"/>
          <w:i/>
          <w:sz w:val="24"/>
          <w:szCs w:val="24"/>
        </w:rPr>
        <w:t>solipsistik</w:t>
      </w:r>
      <w:r w:rsidRPr="0063725A">
        <w:rPr>
          <w:rFonts w:ascii="Book Antiqua" w:hAnsi="Book Antiqua" w:cs="Arial"/>
          <w:sz w:val="24"/>
          <w:szCs w:val="24"/>
        </w:rPr>
        <w:t xml:space="preserve"> (hanya benar dalam kerangka pemikiran tertentu yang berada dalam pikiran orang yang berpikir tersebut).</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B611A3" w:rsidRDefault="00B611A3"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7 Nalar Rasional Hukum</w:t>
      </w:r>
    </w:p>
    <w:p w:rsidR="0063725A" w:rsidRDefault="0063725A" w:rsidP="008258F9">
      <w:pPr>
        <w:spacing w:after="0" w:line="240" w:lineRule="auto"/>
        <w:jc w:val="center"/>
        <w:rPr>
          <w:rFonts w:ascii="Book Antiqua" w:hAnsi="Book Antiqua" w:cs="Times New Roman"/>
          <w:b/>
          <w:sz w:val="32"/>
          <w:szCs w:val="32"/>
        </w:rPr>
      </w:pP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merupakan sarana penalaran dalam epistemologi ilmu pengetahuan untuk mendapatkan pengetahuan yang benar dengan mengembangkan ide-ide logis yang menurut pemahamannya memiliki kejelasan dan kepastian yang bersifat tetap, tidak berubah-ubah dan lebih konsisten. Kebenaran idea adalah kebenaran diluar wilayah pengamatan empiris inderawi yang dapat diterima secara rasional. Prinsip prapengalaman dalam nalar logika akal sudah ada dan bersifat apriori jauh sebelum manusia berusaha menemukannya, fungsi akal manusia hanya mengenali prinsip tersebut yang kemudian menjadikananya sebagai ilmu pengetahuan. Manusia, dengan berpedoman prinsip yang dibentuk melalui penalaran rasionaldapat memperoleh ilmu pengetahuan yang benar dan memahami kejadian-kejadian yang berlaku dalam alam sekitar secara analitik. Akal selain mampu mengolah data-data inderawi, juga mampu menangkap konsep-konsep yang berupa mental dan intelektual yang bersifat non fisik (immaterial).</w:t>
      </w:r>
      <w:r w:rsidRPr="0063725A">
        <w:rPr>
          <w:rStyle w:val="FootnoteReference"/>
          <w:rFonts w:ascii="Book Antiqua" w:eastAsia="Times New Roman" w:hAnsi="Book Antiqua" w:cs="Arial"/>
          <w:sz w:val="24"/>
          <w:szCs w:val="24"/>
        </w:rPr>
        <w:footnoteReference w:id="132"/>
      </w:r>
      <w:r w:rsidRPr="0063725A">
        <w:rPr>
          <w:rFonts w:ascii="Book Antiqua" w:eastAsia="Times New Roman" w:hAnsi="Book Antiqua" w:cs="Arial"/>
          <w:sz w:val="24"/>
          <w:szCs w:val="24"/>
        </w:rPr>
        <w:t xml:space="preserve"> Ilmu pengetahuan tentang sesuatu yang diperoleh dengan cara menggunakan penalaran akal telah melahirkan paham rasionalisme dan idealisme. Akal sebagaimana dalam ilmu pengetahuan yang lain, dengan paradigmanya yang rasional memiliki peran penting dalam proses pengembangan ilmu hukum. Hal ini dapat dilihat dari epistemologi positivisme hukum yang mendapat pengaruh secara ketat oleh cara penalaran yang lebih cenderung mengutamakan rasional akal, meskipun juga menggunakan sedikit pandangan realitas empiris untuk menentukan sifat objektivitas. Dalam dunia </w:t>
      </w:r>
      <w:r w:rsidRPr="0063725A">
        <w:rPr>
          <w:rFonts w:ascii="Book Antiqua" w:eastAsia="Times New Roman" w:hAnsi="Book Antiqua" w:cs="Arial"/>
          <w:sz w:val="24"/>
          <w:szCs w:val="24"/>
        </w:rPr>
        <w:lastRenderedPageBreak/>
        <w:t>hukum cara kerja penalaran akal secara rasional dapat dipahami lebih mampu memberikan kepastian hukum. Positivisme hukum dalam perkembangannya telah berhasil membakukan teknik analitik hukum yang bekerja dengan jelas di atas sistem yang tertata secara formal. Dengan demikian, apa yang dimaksud hukum adalah sistem norma positif dalam peraturan perundang-undangan.</w:t>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a. Objek epistemologi ilmu hukum yang dikembangkan dengan penalaran akal</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epistemologi ilmu hukum yang dikembangkan dengan sarana penalaran utama akal adalah sistem norma hukum positif dalam bentuk peraturan perundang-undangan. Sistem norma hukum positif digunakan untuk dapat memberikan penilaian justifikasi dan preskriptif terhadap segala permasalahan hukum yang terjadi. Kajian terhadap objek hukum tersebut dilakukan dengan maksud untuk memberikan pernyataan hukum sebagai dasar penentu apakah suatu permasalahan hukum telah benar atau salah dan bagaimana sebenarnya permasalahan hukum tersebut menurut peraturan perundang-undangan yang berlaku. Dalam setiap permasalahan hukum atau peristiwa hukum akan selalu mencari rujukan pada sistem norma hukum positif yang mengaturnya guna memperoleh dasar fondasi atas permasalahan hukum agar dapat dianalisis sesuai dengan sistem logika hukum. Akal dalam hal ini telah dipersepsikan untuk memahami kebenaran seperti yang terdapat dalam sistem norma hukum positif dalam peraturan perundang-undangan.Cara kerja hukum seperti ini, a</w:t>
      </w:r>
      <w:r w:rsidRPr="0063725A">
        <w:rPr>
          <w:rFonts w:ascii="Book Antiqua" w:hAnsi="Book Antiqua" w:cs="Times New Roman"/>
          <w:sz w:val="24"/>
          <w:szCs w:val="24"/>
        </w:rPr>
        <w:t xml:space="preserve">pabila ditelusuri ke belakangsebelum lahirnya aliran positivisme hukum telah berkembang suatupemikiranyang dikenal sebagai ajaran legisme yang mengindentikkan hukum dengan peraturan perundang-undangan dan  tidak ada hukum di luar itu, sehingga peraturan </w:t>
      </w:r>
      <w:r w:rsidRPr="0063725A">
        <w:rPr>
          <w:rFonts w:ascii="Book Antiqua" w:hAnsi="Book Antiqua" w:cs="Times New Roman"/>
          <w:sz w:val="24"/>
          <w:szCs w:val="24"/>
        </w:rPr>
        <w:lastRenderedPageBreak/>
        <w:t>perundang-undangan merupakan satu-satunya sumber hukum.Pemikiranlegisme berkembang semenjak akhir abad 18 dan telah banyak mempengaruhiperkembangan hukum diberbagai negara, termasuk Hindia Belanda.Aliran legisme berkeyakinan bahwaperaturan perundang-undanganmerupakan obat mujarab yang mampumenyelesaikan semua permasalahan sosial di masyarakat.Cara pemahaman aliran legisme mirip dengan positivisme hukum, seperti mengindentikkan hukum hanyadengan peraturan perundang-undangan.</w:t>
      </w:r>
      <w:r w:rsidR="00A9337F">
        <w:rPr>
          <w:rFonts w:ascii="Book Antiqua" w:hAnsi="Book Antiqua" w:cs="Times New Roman"/>
          <w:sz w:val="24"/>
          <w:szCs w:val="24"/>
        </w:rPr>
        <w:t xml:space="preserve"> </w:t>
      </w:r>
      <w:r w:rsidRPr="0063725A">
        <w:rPr>
          <w:rFonts w:ascii="Book Antiqua" w:hAnsi="Book Antiqua" w:cs="Times New Roman"/>
          <w:sz w:val="24"/>
          <w:szCs w:val="24"/>
        </w:rPr>
        <w:t>Aliran Legisme, jika dipetakan keberadaannya merupakan garis konservatif yang dikembangkan oleh positivisme hukum.</w:t>
      </w:r>
      <w:r w:rsidRPr="0063725A">
        <w:rPr>
          <w:rStyle w:val="FootnoteReference"/>
          <w:rFonts w:ascii="Book Antiqua" w:hAnsi="Book Antiqua" w:cs="Times New Roman"/>
          <w:sz w:val="24"/>
          <w:szCs w:val="24"/>
        </w:rPr>
        <w:footnoteReference w:id="133"/>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9337F">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Keterkaitan akal dalam ilmu hukum sebagaimana telah tertambat erat dalam pemahaman epistemologi positivisme hukum dapat dijelaskan dengan menggunakan filsafat aliran rasionalisme. Cara kerja akal dalam ilmu pengetahuan, termasuk dalam ilmu hukum berusaha untuk tidak mengakui hasil pengetahuan yang diperoleh dari pengamatan indera secara empiris. Hal ini seperti dikemukakan oleh </w:t>
      </w:r>
      <w:r w:rsidRPr="0063725A">
        <w:rPr>
          <w:rFonts w:ascii="Book Antiqua" w:hAnsi="Book Antiqua" w:cs="Arial"/>
          <w:sz w:val="24"/>
          <w:szCs w:val="24"/>
        </w:rPr>
        <w:t xml:space="preserve">Plato sebagai tokoh klasik pada jaman Yunani kuno, bahwa indera tidak dapat memberikan pengetahuan yang benar, karena sifatnya berubah-ubah, sehingga kebenarannya tidak dapat dipercaya dan dipastikan. Plato kemudian menemukan kebenaran diluar pengetahuan indera yang disebut ide yang bersifat tetap dan kekal yang bersumber dari akal. Peran akal juga dapat digunakan untuk mengabstraksikan eksistensi dari benda yang bersifat konkret. Pemahaman Plato hampir sama dengan apa yang dikemukakan al-Kindi dan Ibnu Bajjah dengan menempatkan akal pada kedudukan yang tinggi, karena akal dapat menghasilkan </w:t>
      </w:r>
      <w:r w:rsidRPr="0063725A">
        <w:rPr>
          <w:rFonts w:ascii="Book Antiqua" w:hAnsi="Book Antiqua" w:cs="Arial"/>
          <w:sz w:val="24"/>
          <w:szCs w:val="24"/>
        </w:rPr>
        <w:lastRenderedPageBreak/>
        <w:t>logika rasional untuk menggali dan menemukan kebenaran ilmu pengetahuan.</w:t>
      </w:r>
      <w:r w:rsidRPr="0063725A">
        <w:rPr>
          <w:rStyle w:val="FootnoteReference"/>
          <w:rFonts w:ascii="Book Antiqua" w:hAnsi="Book Antiqua" w:cs="Arial"/>
          <w:sz w:val="24"/>
          <w:szCs w:val="24"/>
        </w:rPr>
        <w:footnoteReference w:id="134"/>
      </w:r>
      <w:r w:rsidR="00A9337F">
        <w:rPr>
          <w:rFonts w:ascii="Book Antiqua" w:hAnsi="Book Antiqua" w:cs="Arial"/>
          <w:sz w:val="24"/>
          <w:szCs w:val="24"/>
        </w:rPr>
        <w:t xml:space="preserve"> </w:t>
      </w:r>
      <w:r w:rsidRPr="0063725A">
        <w:rPr>
          <w:rFonts w:ascii="Book Antiqua" w:hAnsi="Book Antiqua" w:cs="Arial"/>
          <w:sz w:val="24"/>
          <w:szCs w:val="24"/>
        </w:rPr>
        <w:t>Epistemologi ilmu pengetahuan yang dikembangkan dengan sarana penalaran akal yang dipahami oleh aliran kaum rasionalisme dalam memperoleh pengetahuan yang benar dengan menggunakan logika untuk menangkap dan mengembangkan ide-ide bersifat abstrak yang menurut anggapannya jelas dan dapat diterima. Dalam ilmu hukum penggunaan akal sangat menentukan pemahaman yang benar terhadap hukum, karena hal ini menyangkut pemahaman dasar dan paling awal terhadap apa yang disebut objek hukum. Objek hukum yang berupa peraturan perundang-undangan hanya akan mampu dipahami dengan menggunakan akal secara rasional, bukan dengan pengamatan inderawi. Teks hukum bukan merupakan benda hidup yang dapat bergerak sendiri, tetapi hanya dapat berjalan berdasarkan logika akal.</w:t>
      </w:r>
    </w:p>
    <w:p w:rsidR="00CD411E" w:rsidRPr="0063725A" w:rsidRDefault="00CD411E" w:rsidP="0063725A">
      <w:pPr>
        <w:tabs>
          <w:tab w:val="right" w:leader="dot" w:pos="7938"/>
        </w:tabs>
        <w:spacing w:after="0" w:line="480" w:lineRule="auto"/>
        <w:jc w:val="both"/>
        <w:rPr>
          <w:rFonts w:ascii="Book Antiqua" w:eastAsia="Calibri" w:hAnsi="Book Antiqua" w:cs="Arial"/>
          <w:sz w:val="24"/>
          <w:szCs w:val="24"/>
        </w:rPr>
      </w:pPr>
      <w:r w:rsidRPr="0063725A">
        <w:rPr>
          <w:rFonts w:ascii="Book Antiqua" w:hAnsi="Book Antiqua" w:cs="Arial"/>
          <w:sz w:val="24"/>
          <w:szCs w:val="24"/>
        </w:rPr>
        <w:t xml:space="preserve">          Epistemologi ilmu hukum yang dikembangkan dengan sarana penalaran akal memiliki hakikat tentang objek yang sama dengan ilmu pengetahuan yang lain, yaitu segala sesuatu yang dapat diterima secara logika rasional oleh akal manusia. Kaidah-kaidah hukum yang terbangun dengan memenuhi syarat logis saja yang disebut sebagai hukum, karena yang menjadi tujuan utama hukum adalah kepastian yang terukur. Prinsip yang sama telah diterapkan dalam paham rasionalisme yang dipelopori oleh </w:t>
      </w:r>
      <w:r w:rsidRPr="0063725A">
        <w:rPr>
          <w:rFonts w:ascii="Book Antiqua" w:eastAsia="Calibri" w:hAnsi="Book Antiqua" w:cs="Arial"/>
          <w:sz w:val="24"/>
          <w:szCs w:val="24"/>
        </w:rPr>
        <w:t>Rene Descartes. Menurut Descartes, epistemologi yang dikembangkan dengan sarana penalaran akal dapat menghasilkan suatu kebenaran yang bersifat pasti. Pernyataannya tentang “</w:t>
      </w:r>
      <w:r w:rsidRPr="0063725A">
        <w:rPr>
          <w:rFonts w:ascii="Book Antiqua" w:eastAsia="Calibri" w:hAnsi="Book Antiqua" w:cs="Arial"/>
          <w:i/>
          <w:sz w:val="24"/>
          <w:szCs w:val="24"/>
        </w:rPr>
        <w:t>cogito ergo sum”</w:t>
      </w:r>
      <w:r w:rsidRPr="0063725A">
        <w:rPr>
          <w:rFonts w:ascii="Book Antiqua" w:eastAsia="Calibri" w:hAnsi="Book Antiqua" w:cs="Arial"/>
          <w:sz w:val="24"/>
          <w:szCs w:val="24"/>
        </w:rPr>
        <w:t xml:space="preserve">berhasil mengukuhkan dominasi peran akal dalam segala bidang kehidupan. Konsep tentang ide-ide menurut kaum rasionalis merupakan hasil karya akal manusia, bukan realitas empiris yang telah ada sebelumnya. Akal memiliki fungsi sangat penting dalam </w:t>
      </w:r>
      <w:r w:rsidRPr="0063725A">
        <w:rPr>
          <w:rFonts w:ascii="Book Antiqua" w:eastAsia="Calibri" w:hAnsi="Book Antiqua" w:cs="Arial"/>
          <w:sz w:val="24"/>
          <w:szCs w:val="24"/>
        </w:rPr>
        <w:lastRenderedPageBreak/>
        <w:t>sejarah peradaban ilmu pengetahuan, bahkan filsafat sendiri lahir dari pemikiran-pemikiran yang diklaim sebagai hasil cara kerja akal manusia. Menurut pemahaman kaum rasionalisme, hanya dengan memahami prinsip yang didapat melalui penalaran akal rasional manusia dapat mengerti kejadian-kejadian yang berlaku dalam alam sekitar. Ide-ide bersifat apriori dan prapengalaman hanya diperoleh manusia melalui metode penalaran yang dikembangkan dengan sarana penalaran akal secara rasional.</w:t>
      </w:r>
      <w:r w:rsidRPr="0063725A">
        <w:rPr>
          <w:rFonts w:ascii="Book Antiqua" w:eastAsia="Calibri" w:hAnsi="Book Antiqua" w:cs="Arial"/>
          <w:sz w:val="24"/>
          <w:szCs w:val="24"/>
          <w:vertAlign w:val="superscript"/>
        </w:rPr>
        <w:footnoteReference w:id="135"/>
      </w:r>
      <w:r w:rsidRPr="0063725A">
        <w:rPr>
          <w:rFonts w:ascii="Book Antiqua" w:eastAsia="Calibri" w:hAnsi="Book Antiqua" w:cs="Arial"/>
          <w:sz w:val="24"/>
          <w:szCs w:val="24"/>
        </w:rPr>
        <w:t xml:space="preserve"> Akal rasional sebagai sarana penalaran utama dalam mengembangkan epistemologiseperti dikemukakan oleh </w:t>
      </w:r>
      <w:r w:rsidRPr="0063725A">
        <w:rPr>
          <w:rFonts w:ascii="Book Antiqua" w:eastAsia="Times New Roman" w:hAnsi="Book Antiqua" w:cs="Arial"/>
          <w:sz w:val="24"/>
          <w:szCs w:val="24"/>
        </w:rPr>
        <w:t>Abu Bisyr Matta seorang filsuf Islam ahli logika penganut</w:t>
      </w:r>
      <w:r w:rsidRPr="0063725A">
        <w:rPr>
          <w:rFonts w:ascii="Book Antiqua" w:eastAsia="Times New Roman" w:hAnsi="Book Antiqua" w:cs="Arial"/>
          <w:i/>
          <w:sz w:val="24"/>
          <w:szCs w:val="24"/>
        </w:rPr>
        <w:t xml:space="preserve">burhani, </w:t>
      </w:r>
      <w:r w:rsidRPr="0063725A">
        <w:rPr>
          <w:rFonts w:ascii="Book Antiqua" w:eastAsia="Times New Roman" w:hAnsi="Book Antiqua" w:cs="Arial"/>
          <w:sz w:val="24"/>
          <w:szCs w:val="24"/>
        </w:rPr>
        <w:t>menurutnya logikalebih dulu muncul daripada kata atau bahasa, artinya logika yang berasal dari cara kerja akal digunakan untuk menggali dan memperoleh kebenaran pengetahuan yang selanjutnya dapat menghasilkan kata atau bahasa.</w:t>
      </w:r>
      <w:r w:rsidRPr="0063725A">
        <w:rPr>
          <w:rStyle w:val="FootnoteReference"/>
          <w:rFonts w:ascii="Book Antiqua" w:eastAsia="Times New Roman" w:hAnsi="Book Antiqua" w:cs="Arial"/>
          <w:sz w:val="24"/>
          <w:szCs w:val="24"/>
        </w:rPr>
        <w:footnoteReference w:id="136"/>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Sistem norma hukum positif sebagai objek kajian epistemologi ilmu hukum hanya membatasi diri pada ruang lingkup peraturan perundang-undangan, tidak mengkaji bagaimana perilaku manusia yang menerapkan peraturan hukum tersebut. Oleh karena itu, jika mengkaji tentang hukum legislatif cukup dengan mengkaji peraturan perundang-undangan tentang legislatif, tidak perlu mengkaji tentang bagaimana perilaku anggota legislatif dalam menjalankan fungsinya sebagai lembaga pembentuk undang-undang. Kajian tentang perilaku anggota legislatif yang penuh dengan transaksional dalam membentuk dan sampai pada pengesahan undang-undang bukan merupakan objek ilmu hukum, meskipun hal tersebut merupakan permasalahan yang secara riil terjadi dan cukup mengganggu cara </w:t>
      </w:r>
      <w:r w:rsidRPr="0063725A">
        <w:rPr>
          <w:rFonts w:ascii="Book Antiqua" w:eastAsia="Times New Roman" w:hAnsi="Book Antiqua" w:cs="Arial"/>
          <w:sz w:val="24"/>
          <w:szCs w:val="24"/>
        </w:rPr>
        <w:lastRenderedPageBreak/>
        <w:t>pandang hukum. Pembatasan terhadap objek kajian ilmu hukum tersebut meneguhkan karakter yang khas dari cara berpikir dengan logika tertutup hukum dalam pengertian sistem norma hukum positif peraturan perundang-undangan.</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kajianilmu hukum yang berupa sistem norma hukum positif merupakan keseluruhan unsur dari norma hukum yang berisi tentang nilai-nilai yang mengatur bagaimana seharusnya manusia bertingkah laku menurut hukum yang berlaku. Objek akan dikaji berdasarkan sistematika dalam struktur hukum secara hierarki menurut tata urutan peraturan perundang-undangan yang berlaku. Objek kajian epistemologi ilmu hukum yang berupa sistem norma hukum positif dalam peraturan perundang-undangan yang dikembangkan dengan sarana penalaran akalbahannya telah dianggap ada dan siap untuk digunakan merumuskan sebuah hukum, sehingga tidak perlu untuk mencari kajian atau informasi tambahan dari luar yang bukan dari sumber tersebut. Hal ini perlu dijadikan pedoman pokok untuk dipergunakan sebagai batasan yang jelas dan tegas ketika akan melihat apakah itu merupakan objek hukum atau bukan. Dalam hukum sering terjadi bahwa objek yang dikaji dalam sistem norma positif bukan merupakan objek hukum, karena ruang lingkup permasalahan yang dikaji terletak pada gejala-gejala perilaku personal manusia atau kelembagaannya.</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Memahami ilmu hukum sebagai sistem norma hukum positif tidak lepas dari pengaruh pemikiran-pemikiran August Comte yang membagi tahap perkembangan peradaban pengetahuan manusia menjadi tiga. </w:t>
      </w:r>
      <w:r w:rsidRPr="0063725A">
        <w:rPr>
          <w:rFonts w:ascii="Book Antiqua" w:eastAsia="Times New Roman" w:hAnsi="Book Antiqua" w:cs="Arial"/>
          <w:i/>
          <w:sz w:val="24"/>
          <w:szCs w:val="24"/>
        </w:rPr>
        <w:t>Tahap pertama</w:t>
      </w:r>
      <w:r w:rsidRPr="0063725A">
        <w:rPr>
          <w:rFonts w:ascii="Book Antiqua" w:eastAsia="Times New Roman" w:hAnsi="Book Antiqua" w:cs="Arial"/>
          <w:sz w:val="24"/>
          <w:szCs w:val="24"/>
        </w:rPr>
        <w:t xml:space="preserve"> disebut sebagai teologi, dimana kebenaran ilmiah didasarkan pada ajaran agama dari Tuhan. Hal ini sebagaimana diusung oleh pandangan dari hukum kodrat. </w:t>
      </w:r>
      <w:r w:rsidRPr="0063725A">
        <w:rPr>
          <w:rFonts w:ascii="Book Antiqua" w:eastAsia="Times New Roman" w:hAnsi="Book Antiqua" w:cs="Arial"/>
          <w:i/>
          <w:sz w:val="24"/>
          <w:szCs w:val="24"/>
        </w:rPr>
        <w:t>Tahap kedua</w:t>
      </w:r>
      <w:r w:rsidRPr="0063725A">
        <w:rPr>
          <w:rFonts w:ascii="Book Antiqua" w:eastAsia="Times New Roman" w:hAnsi="Book Antiqua" w:cs="Arial"/>
          <w:sz w:val="24"/>
          <w:szCs w:val="24"/>
        </w:rPr>
        <w:t xml:space="preserve"> disebut </w:t>
      </w:r>
      <w:r w:rsidRPr="0063725A">
        <w:rPr>
          <w:rFonts w:ascii="Book Antiqua" w:eastAsia="Times New Roman" w:hAnsi="Book Antiqua" w:cs="Arial"/>
          <w:sz w:val="24"/>
          <w:szCs w:val="24"/>
        </w:rPr>
        <w:lastRenderedPageBreak/>
        <w:t xml:space="preserve">sebagai metafisik, dimana kebenaran didasarkan pada hal-hal yang bersifat abstrak. Kebenaran dalam tahap sebelumnya mulai diubah menjadi abstraksi-abstraksi metafisis sebagai pengganti dari pemaknaan terhadap Tuhan. </w:t>
      </w:r>
      <w:r w:rsidRPr="0063725A">
        <w:rPr>
          <w:rFonts w:ascii="Book Antiqua" w:eastAsia="Times New Roman" w:hAnsi="Book Antiqua" w:cs="Arial"/>
          <w:i/>
          <w:sz w:val="24"/>
          <w:szCs w:val="24"/>
        </w:rPr>
        <w:t>Tahap ketiga</w:t>
      </w:r>
      <w:r w:rsidRPr="0063725A">
        <w:rPr>
          <w:rFonts w:ascii="Book Antiqua" w:eastAsia="Times New Roman" w:hAnsi="Book Antiqua" w:cs="Arial"/>
          <w:sz w:val="24"/>
          <w:szCs w:val="24"/>
        </w:rPr>
        <w:t xml:space="preserve"> disebut sebagai positif, dimana perkembangan pengetahuan dilakukan dengan pengujian positif secara ilmiah terhadap semua yang digunakan dalam proses verifikasi yang objektif. Pada tahap inilah ilmu pengetahuan tidak hanya menjelaskan apa yang nyata, tapi juga bersifat pasti.</w:t>
      </w:r>
      <w:r w:rsidRPr="0063725A">
        <w:rPr>
          <w:rStyle w:val="FootnoteReference"/>
          <w:rFonts w:ascii="Book Antiqua" w:eastAsia="Times New Roman" w:hAnsi="Book Antiqua" w:cs="Arial"/>
          <w:sz w:val="24"/>
          <w:szCs w:val="24"/>
        </w:rPr>
        <w:footnoteReference w:id="137"/>
      </w:r>
      <w:r w:rsidRPr="0063725A">
        <w:rPr>
          <w:rFonts w:ascii="Book Antiqua" w:eastAsia="Times New Roman" w:hAnsi="Book Antiqua" w:cs="Arial"/>
          <w:sz w:val="24"/>
          <w:szCs w:val="24"/>
        </w:rPr>
        <w:t xml:space="preserve"> Pengukuhan metode ilmiah dalam pembuktian kebenaran ilmu pengetahuan kelihatannya menggoda hukum untuk melakukan hal yang sama, yaitu dengan mempositifkan pemahaman tentang hukum dalam bentuk sistem norma hukum positif yang berupa peraturan perundang-undangan. Dengan demikian hukum telah memiliki sistem sendiri dalam menentukan kebenaran yang dimaksud, termasuk menentukan apa yang sesungguhnya menjadi objek hukum.</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Gelombang positivisme yang dipelopori August Comte menjalar ke dalam segala cabang ilmu pengetahuan sosial, termasuk ilmu hukum. Positivisme hukum berusaha untuk membersihkan pertimbangan tentang nilai-nilai dari ilmu hukum dengan membatasi tugas ilmu hukum pada ranah analisis logis. Kemunculan positivisme hukum juga tidak lepas dari pengaruh warisan pemikiran-pemikiran hukum yang lebih menekankan pada aspek idealis. Pola kehidupan masyarakat yang terus mengalami perkembangan dan perubahan secara cepat pada abad ke-19 dapat membangkitkan semangat berpikir kritis terhadap segala permasalahan yang dihadapi. Oleh karena itu, cukup beralasan jika positivisme hukum muncul sebagai instrumen yang syarat dengan kepentingan tertentu untuk mencapai tujuan mengatasi segala permasalahan yang timbul dalam kehidupan. Dalam </w:t>
      </w:r>
      <w:r w:rsidRPr="0063725A">
        <w:rPr>
          <w:rFonts w:ascii="Book Antiqua" w:eastAsia="Times New Roman" w:hAnsi="Book Antiqua" w:cs="Arial"/>
          <w:sz w:val="24"/>
          <w:szCs w:val="24"/>
        </w:rPr>
        <w:lastRenderedPageBreak/>
        <w:t>mempermudah cara kerja positivisme hukum, maka ditentukan beberapa konsep yang telah ditetapkan kebenarannya melalui prosedur dan mekanisme tertentu yang dapat diukur secara logis dengan sifatnya yang koherensif. Positivisme hukum dengan cara kerja yang sama seperti pada positivisme ilmu pengetahuan lain, berusaha menolak objek hukum kodrat dengan segala variannya yang menempatkan hukum pada tataran metayuridis atau irasional.</w:t>
      </w:r>
      <w:r w:rsidRPr="0063725A">
        <w:rPr>
          <w:rStyle w:val="FootnoteReference"/>
          <w:rFonts w:ascii="Book Antiqua" w:eastAsia="Times New Roman" w:hAnsi="Book Antiqua" w:cs="Arial"/>
          <w:sz w:val="24"/>
          <w:szCs w:val="24"/>
        </w:rPr>
        <w:footnoteReference w:id="138"/>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Epistemologi ilmu hukum yang dikembangkan dengan sarana penalaran akal, seperti telah disinggung di depan memiliki kecenderungan untuk menggunakan teori dari positivisme hukum, karena memiliki kemiripan dalam menggunakan akal sebagai dasar utama untuk memperoleh kebenaran. Positivisme hukum memiliki pemahaman untuk membersihkan pertimbangan tentang nilai-nilai dari ilmu hukum dengan membatasi tugas ilmu hukum pada ranah analisis. Positivisme hukum memahami hukum sebagai peraturan yang sedang berlaku dan dibentuk oleh otoritas negara. Karakter yang khas dari pemikiran positivisme hukum adalah menekankan pemisahan hukum dari segala sesuatu yang tidak terjangkau oleh logika rasional akal dan cenderung lebih mengidentifikasikan keadilan pada sifat legalitas ketaatan terhadap peraturan perundang-undangan yang dibentuk oleh negara. Konsep hukum dalam positivisme hukum dipahami sebagai suatu gejala tersendiri yang perlu dikaji secara ilmiah yang memiliki tujuan untuk membentuk sistem struktur rasional, sehingga paham ini melahirkan suatu pemikiran bahwa pembentukan hukum bersifat profesional yaitu hukum merupakan hasil kerjaahli hukum yang tidak ada keterkaitannya dengan ilmu pengetahuan yang lain. Terdapat tiga prinsip utama dalam positivisme hukum.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hukum dipahami </w:t>
      </w:r>
      <w:r w:rsidRPr="0063725A">
        <w:rPr>
          <w:rFonts w:ascii="Book Antiqua" w:eastAsia="Times New Roman" w:hAnsi="Book Antiqua" w:cs="Arial"/>
          <w:sz w:val="24"/>
          <w:szCs w:val="24"/>
        </w:rPr>
        <w:lastRenderedPageBreak/>
        <w:t xml:space="preserve">sebagai peraturan perundang-undangan yang didasarkan pada konsep bahwa hukum muncul terkait dengan negara, sehingga hukum yang benar merupakan hukum yang berlaku dalam suatu negara.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hukum tidak memiliki hubungan dengan hal-hal lain di luar hukum, karena hukum dibentuk oleh profesional ahli di bidang hukum, bukan hasil karya ilmuan dibidang lain.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hukum memiliki metode khusus dalam membangun kerangka pemikiran, yaitu dengan metode </w:t>
      </w:r>
      <w:r w:rsidRPr="0063725A">
        <w:rPr>
          <w:rFonts w:ascii="Book Antiqua" w:eastAsia="Times New Roman" w:hAnsi="Book Antiqua" w:cs="Arial"/>
          <w:i/>
          <w:sz w:val="24"/>
          <w:szCs w:val="24"/>
        </w:rPr>
        <w:t>closed logical system</w:t>
      </w:r>
      <w:r w:rsidRPr="0063725A">
        <w:rPr>
          <w:rFonts w:ascii="Book Antiqua" w:eastAsia="Times New Roman" w:hAnsi="Book Antiqua" w:cs="Arial"/>
          <w:sz w:val="24"/>
          <w:szCs w:val="24"/>
        </w:rPr>
        <w:t>, untuk menafsirkannya dilakukan dengan sistem internal yang ada di dalam hukum itu sendiri.</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Positivisme hukum hadir dengan mengusung pemahaman yang tidak hanya bersifat bersifat konkret dan nyata dalam melihat objek hukum, tetapi juga harus dapat dilakukan analisis secara ilmiah terhadapnya.</w:t>
      </w:r>
      <w:r w:rsidRPr="0063725A">
        <w:rPr>
          <w:rStyle w:val="FootnoteReference"/>
          <w:rFonts w:ascii="Book Antiqua" w:eastAsia="Times New Roman" w:hAnsi="Book Antiqua" w:cs="Arial"/>
          <w:sz w:val="24"/>
          <w:szCs w:val="24"/>
        </w:rPr>
        <w:footnoteReference w:id="139"/>
      </w:r>
      <w:r w:rsidRPr="0063725A">
        <w:rPr>
          <w:rFonts w:ascii="Book Antiqua" w:eastAsia="Times New Roman" w:hAnsi="Book Antiqua" w:cs="Arial"/>
          <w:sz w:val="24"/>
          <w:szCs w:val="24"/>
        </w:rPr>
        <w:t xml:space="preserve">Kelemahan hukum kodrat yang mengakibatkanya tersingkir dari zaman modern adalah karena kegagalannya untuk menampilkan objek hukum secara jelas dan nyata, sehingga tidak dapat melakukan analisis terhadapnya. Sifat objek yang irasional dan tidak konkrit dari teori hukum kodrat, menurut positivisme hukum mengakibatkan hukum tidak memiliki nilai kepastian dengan jelas dan tegas. Setiap filsuf dalam hukum kodrat memiliki pandangan sendiri-sendiri tentang objek hukum, seperti tentang hukum Tuhan, moral hukum, logika hukum dan intuisi hati nurani dalam hukum. Pemahaman hukum kodrat bersifat ambigu dan gagal memberikan kepastian hukum yang obyektif dilatar belakangi oleh pandangan terhadap objek yang salah. Keadaan zaman yang semakin maju dan lebih modern menuntut peran akal secara </w:t>
      </w:r>
      <w:r w:rsidRPr="0063725A">
        <w:rPr>
          <w:rFonts w:ascii="Book Antiqua" w:eastAsia="Times New Roman" w:hAnsi="Book Antiqua" w:cs="Arial"/>
          <w:sz w:val="24"/>
          <w:szCs w:val="24"/>
        </w:rPr>
        <w:lastRenderedPageBreak/>
        <w:t>lebih untuk mampu melakukan analisis terhadap permasalahan yang timbul. Positivisme hukum hadir sebagai jawaban atas permasalahan hukum dengan pola pemikiran ilmiah yang bersifat sainstis berusaha untuk meneguhkan cara kerja yang lebih akurat dan terukur secara analisis.</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terhadap epistemologi ilmu hukum yang dikembangkan dengan sarana penalaran akal sebagaimana dalam positivisme hukum memiliki objek hukum yang sedang berlaku pada waktu dan tempat tertentu.</w:t>
      </w:r>
      <w:r w:rsidRPr="0063725A">
        <w:rPr>
          <w:rStyle w:val="FootnoteReference"/>
          <w:rFonts w:ascii="Book Antiqua" w:eastAsia="Times New Roman" w:hAnsi="Book Antiqua" w:cs="Arial"/>
          <w:sz w:val="24"/>
          <w:szCs w:val="24"/>
        </w:rPr>
        <w:footnoteReference w:id="140"/>
      </w:r>
      <w:r w:rsidRPr="0063725A">
        <w:rPr>
          <w:rFonts w:ascii="Book Antiqua" w:eastAsia="Times New Roman" w:hAnsi="Book Antiqua" w:cs="Arial"/>
          <w:sz w:val="24"/>
          <w:szCs w:val="24"/>
        </w:rPr>
        <w:t>Objek hukum tersebut memiliki kejelasan secara objektif, sehingga dapat dilakukan analisis secara logis terhadapnya. Hal ini seperti pemahaman hukum yang dikemukakan oleh John Austin, bahwa hukum merupakan suatu aturan yang ditentukan untuk membimbing makhluk berakal oleh makhluk berakal lainnya yang telah memiliki kekuatan untuk mengalahkannya. Hukum secara rasional dibentuk oleh kelompok yang berkuasa dan diberlakukan terhadap kelompok yang dikuasainya. Rasional hukum dipisahkan dari rasa keadilan, sebagai gantinya didasarkan pada ide-ide benar dan salah yang didasarkan pada kehendak pemegang kekuasaan yang tertinggi tanpa memperhatikan pertimbangan baik atau buruknya hukum itu. Hukum positif berasal pemegang kedaulatan yang memiliki peran sangat menentukan untuk membentuk hukum.</w:t>
      </w:r>
      <w:r w:rsidRPr="0063725A">
        <w:rPr>
          <w:rStyle w:val="FootnoteReference"/>
          <w:rFonts w:ascii="Book Antiqua" w:eastAsia="Times New Roman" w:hAnsi="Book Antiqua" w:cs="Arial"/>
          <w:sz w:val="24"/>
          <w:szCs w:val="24"/>
        </w:rPr>
        <w:footnoteReference w:id="141"/>
      </w:r>
      <w:r w:rsidRPr="0063725A">
        <w:rPr>
          <w:rFonts w:ascii="Book Antiqua" w:eastAsia="Times New Roman" w:hAnsi="Book Antiqua" w:cs="Arial"/>
          <w:sz w:val="24"/>
          <w:szCs w:val="24"/>
        </w:rPr>
        <w:t xml:space="preserve"> Menurut Austin, perintah dari penguasa yang berdaulat adalah objek hukum. Perintah dalam pemahaman hukum positif merupakan inti dari sifat hukum menurut Austin.Untuk mengidentifikasi apakah sebuah norma itu hukum atau bukan dapat dilihat dari kepastian esensi atau </w:t>
      </w:r>
      <w:r w:rsidRPr="0063725A">
        <w:rPr>
          <w:rFonts w:ascii="Book Antiqua" w:eastAsia="Times New Roman" w:hAnsi="Book Antiqua" w:cs="Arial"/>
          <w:sz w:val="24"/>
          <w:szCs w:val="24"/>
        </w:rPr>
        <w:lastRenderedPageBreak/>
        <w:t>hakikat dari objek hukum yang bersandar pada cara kerja akal secara rasional. Dalam hal ini Austin berusaha menetapkan esensi dari suatu hukum seperti dengan mendefinisikan hukum dalam sistem logis yangmengandung unsur-unsur yang bersifat perintah, kewajiban dan sanksi.</w:t>
      </w:r>
      <w:r w:rsidRPr="0063725A">
        <w:rPr>
          <w:rStyle w:val="FootnoteReference"/>
          <w:rFonts w:ascii="Book Antiqua" w:eastAsia="Times New Roman" w:hAnsi="Book Antiqua" w:cs="Arial"/>
          <w:sz w:val="24"/>
          <w:szCs w:val="24"/>
        </w:rPr>
        <w:footnoteReference w:id="142"/>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t xml:space="preserve">          Objek epistemologi positivisme hukum yang dikembangkan dengan sarana penalaran akal dapat dipahami dari pemikiran John Austin, bahwa hukum tidak didasarkan pada nilai baik atau buruk, tetapi didasarkan pada kekuasaan dari pemegang kedaulatan tertinggi. Artinya hukum hanya dibentuk berdasarkan ide-ide rasional yang dianggap baik oleh penguasa, sehingga hukum akan berorientasi pada kepentingan penguasa. Oleh karena itu, maka sebagai akibatnya sanksi menjadi perangkat hukum yang mampu melindungi kepentingan penguasa.</w:t>
      </w:r>
      <w:r w:rsidRPr="0063725A">
        <w:rPr>
          <w:rStyle w:val="FootnoteReference"/>
          <w:rFonts w:ascii="Book Antiqua" w:eastAsia="Times New Roman" w:hAnsi="Book Antiqua" w:cs="Arial"/>
          <w:sz w:val="24"/>
          <w:szCs w:val="24"/>
        </w:rPr>
        <w:footnoteReference w:id="143"/>
      </w:r>
      <w:r w:rsidRPr="0063725A">
        <w:rPr>
          <w:rFonts w:ascii="Book Antiqua" w:eastAsia="Times New Roman" w:hAnsi="Book Antiqua" w:cs="Arial"/>
          <w:sz w:val="24"/>
          <w:szCs w:val="24"/>
        </w:rPr>
        <w:t>Akal yang mendasari objek positivisme hukum dipahami dari anggapannya terhadap apa yang terdapat di luar logika hukum bukan disebut sebagai hukum. Terdapat keinginan kuat untuk mengukuhkan pendapat tentang hukum yang layak jika hukum telah sesuai dengan suatu sistem yang logis, tetap dan bersifat tertutup (</w:t>
      </w:r>
      <w:r w:rsidRPr="0063725A">
        <w:rPr>
          <w:rFonts w:ascii="Book Antiqua" w:eastAsia="Times New Roman" w:hAnsi="Book Antiqua" w:cs="Arial"/>
          <w:i/>
          <w:sz w:val="24"/>
          <w:szCs w:val="24"/>
        </w:rPr>
        <w:t>closed logical system</w:t>
      </w:r>
      <w:r w:rsidRPr="0063725A">
        <w:rPr>
          <w:rFonts w:ascii="Book Antiqua" w:eastAsia="Times New Roman" w:hAnsi="Book Antiqua" w:cs="Arial"/>
          <w:sz w:val="24"/>
          <w:szCs w:val="24"/>
        </w:rPr>
        <w:t>). Tujuan paling akhir dan utama dari positivisme hukum adalah mencapai kepastian hukum, bukan kemanfaatan sosial atau keadilan kodrati. Kepastian hukum hanya dapat dicapai dengan akal dan memisahkan hukum dari hal-hal yang berada di luar hukum, sehingga untuk dapat disebut sebagai hukum harus memenuhi unsur-unsur; adanya penguasa (</w:t>
      </w:r>
      <w:r w:rsidRPr="0063725A">
        <w:rPr>
          <w:rFonts w:ascii="Book Antiqua" w:eastAsia="Times New Roman" w:hAnsi="Book Antiqua" w:cs="Arial"/>
          <w:i/>
          <w:sz w:val="24"/>
          <w:szCs w:val="24"/>
        </w:rPr>
        <w:t>souvereighnityy</w:t>
      </w:r>
      <w:r w:rsidRPr="0063725A">
        <w:rPr>
          <w:rFonts w:ascii="Book Antiqua" w:eastAsia="Times New Roman" w:hAnsi="Book Antiqua" w:cs="Arial"/>
          <w:sz w:val="24"/>
          <w:szCs w:val="24"/>
        </w:rPr>
        <w:t>), suatu perintah (</w:t>
      </w:r>
      <w:r w:rsidRPr="0063725A">
        <w:rPr>
          <w:rFonts w:ascii="Book Antiqua" w:eastAsia="Times New Roman" w:hAnsi="Book Antiqua" w:cs="Arial"/>
          <w:i/>
          <w:sz w:val="24"/>
          <w:szCs w:val="24"/>
        </w:rPr>
        <w:t>command</w:t>
      </w:r>
      <w:r w:rsidRPr="0063725A">
        <w:rPr>
          <w:rFonts w:ascii="Book Antiqua" w:eastAsia="Times New Roman" w:hAnsi="Book Antiqua" w:cs="Arial"/>
          <w:sz w:val="24"/>
          <w:szCs w:val="24"/>
        </w:rPr>
        <w:t>), kewajiban untuk mentaati (</w:t>
      </w:r>
      <w:r w:rsidRPr="0063725A">
        <w:rPr>
          <w:rFonts w:ascii="Book Antiqua" w:eastAsia="Times New Roman" w:hAnsi="Book Antiqua" w:cs="Arial"/>
          <w:i/>
          <w:sz w:val="24"/>
          <w:szCs w:val="24"/>
        </w:rPr>
        <w:t>duty</w:t>
      </w:r>
      <w:r w:rsidRPr="0063725A">
        <w:rPr>
          <w:rFonts w:ascii="Book Antiqua" w:eastAsia="Times New Roman" w:hAnsi="Book Antiqua" w:cs="Arial"/>
          <w:sz w:val="24"/>
          <w:szCs w:val="24"/>
        </w:rPr>
        <w:t>) dan sanksi bagi mereka yang tidak taat (</w:t>
      </w:r>
      <w:r w:rsidRPr="0063725A">
        <w:rPr>
          <w:rFonts w:ascii="Book Antiqua" w:eastAsia="Times New Roman" w:hAnsi="Book Antiqua" w:cs="Arial"/>
          <w:i/>
          <w:sz w:val="24"/>
          <w:szCs w:val="24"/>
        </w:rPr>
        <w:t>sanction</w:t>
      </w:r>
      <w:r w:rsidRPr="0063725A">
        <w:rPr>
          <w:rFonts w:ascii="Book Antiqua" w:eastAsia="Times New Roman" w:hAnsi="Book Antiqua" w:cs="Arial"/>
          <w:sz w:val="24"/>
          <w:szCs w:val="24"/>
        </w:rPr>
        <w:t xml:space="preserve">).Dengan demikian, menurut Friedman, John Austin telah mengganti </w:t>
      </w:r>
      <w:r w:rsidRPr="0063725A">
        <w:rPr>
          <w:rFonts w:ascii="Book Antiqua" w:eastAsia="Times New Roman" w:hAnsi="Book Antiqua" w:cs="Arial"/>
          <w:sz w:val="24"/>
          <w:szCs w:val="24"/>
        </w:rPr>
        <w:lastRenderedPageBreak/>
        <w:t xml:space="preserve">keadilan dengan perintah seorang penguasa, seperti dikemukakan, </w:t>
      </w:r>
      <w:r w:rsidRPr="0063725A">
        <w:rPr>
          <w:rFonts w:ascii="Book Antiqua" w:eastAsia="Times New Roman" w:hAnsi="Book Antiqua" w:cs="Arial"/>
          <w:i/>
          <w:sz w:val="24"/>
          <w:szCs w:val="24"/>
        </w:rPr>
        <w:t>“every positive law is directly or circuitously, by sou vereighn individual or body, to a member or members of the independent political society wherein its author is supreme”</w:t>
      </w:r>
      <w:r w:rsidRPr="0063725A">
        <w:rPr>
          <w:rFonts w:ascii="Book Antiqua" w:eastAsia="Times New Roman" w:hAnsi="Book Antiqua" w:cs="Arial"/>
          <w:sz w:val="24"/>
          <w:szCs w:val="24"/>
        </w:rPr>
        <w:t>. Hukum adalah tiap-tiap undang-undang positif yang ditentukan secara langsung atau tidak Iangsung oleh seorang pribadi atau sekelompok orang yang berwibawa bagi seseorang anggota atau anggota-anggota suatu masyarakat politik yang berdaulat, dimana yang membentuk hukum adalah pemegang kekuasaan tertinggi”.</w:t>
      </w:r>
      <w:r w:rsidRPr="0063725A">
        <w:rPr>
          <w:rStyle w:val="FootnoteReference"/>
          <w:rFonts w:ascii="Book Antiqua" w:eastAsia="Times New Roman" w:hAnsi="Book Antiqua" w:cs="Arial"/>
          <w:sz w:val="24"/>
          <w:szCs w:val="24"/>
        </w:rPr>
        <w:footnoteReference w:id="144"/>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Herbert Lionel Adolpus (H.L.A) Hart memberi makna yang tegas terhadap objek positivisme hukum dengan wujud peraturan perundang-undangan. Oleh karena itu, hukum memiliki daya paksa secara tertulis. Hal ini yang menjadi pemahaman logika hukum positivisme menurut Hart.</w:t>
      </w:r>
      <w:r w:rsidRPr="0063725A">
        <w:rPr>
          <w:rStyle w:val="FootnoteReference"/>
          <w:rFonts w:ascii="Book Antiqua" w:eastAsia="Times New Roman" w:hAnsi="Book Antiqua" w:cs="Arial"/>
          <w:sz w:val="24"/>
          <w:szCs w:val="24"/>
        </w:rPr>
        <w:footnoteReference w:id="145"/>
      </w:r>
      <w:r w:rsidRPr="0063725A">
        <w:rPr>
          <w:rFonts w:ascii="Book Antiqua" w:eastAsia="Times New Roman" w:hAnsi="Book Antiqua" w:cs="Arial"/>
          <w:sz w:val="24"/>
          <w:szCs w:val="24"/>
        </w:rPr>
        <w:t>Dalam memahami hukum positif Hart membagi peraturan menjadi dua macam objek, yaitu peraturan yang bersifat primer (</w:t>
      </w:r>
      <w:r w:rsidRPr="0063725A">
        <w:rPr>
          <w:rFonts w:ascii="Book Antiqua" w:eastAsia="Times New Roman" w:hAnsi="Book Antiqua" w:cs="Arial"/>
          <w:i/>
          <w:sz w:val="24"/>
          <w:szCs w:val="24"/>
        </w:rPr>
        <w:t>primary rules</w:t>
      </w:r>
      <w:r w:rsidRPr="0063725A">
        <w:rPr>
          <w:rFonts w:ascii="Book Antiqua" w:eastAsia="Times New Roman" w:hAnsi="Book Antiqua" w:cs="Arial"/>
          <w:sz w:val="24"/>
          <w:szCs w:val="24"/>
        </w:rPr>
        <w:t>) dan peraturan yang bersifat sekunder (</w:t>
      </w:r>
      <w:r w:rsidRPr="0063725A">
        <w:rPr>
          <w:rFonts w:ascii="Book Antiqua" w:eastAsia="Times New Roman" w:hAnsi="Book Antiqua" w:cs="Arial"/>
          <w:i/>
          <w:sz w:val="24"/>
          <w:szCs w:val="24"/>
        </w:rPr>
        <w:t>secondary rules</w:t>
      </w:r>
      <w:r w:rsidRPr="0063725A">
        <w:rPr>
          <w:rFonts w:ascii="Book Antiqua" w:eastAsia="Times New Roman" w:hAnsi="Book Antiqua" w:cs="Arial"/>
          <w:sz w:val="24"/>
          <w:szCs w:val="24"/>
        </w:rPr>
        <w:t>). Peraturan yang bersifat primer berisi tentang hak dan kewajiban terkait dengan apa yang dilarang dan boleh dilakukan oleh individu-individu. Peraturan primer biasanya digunakan dalam sistem masyarakat yang sederhana.</w:t>
      </w:r>
      <w:r w:rsidRPr="0063725A">
        <w:rPr>
          <w:rStyle w:val="FootnoteReference"/>
          <w:rFonts w:ascii="Book Antiqua" w:eastAsia="Times New Roman" w:hAnsi="Book Antiqua" w:cs="Arial"/>
          <w:sz w:val="24"/>
          <w:szCs w:val="24"/>
        </w:rPr>
        <w:footnoteReference w:id="146"/>
      </w:r>
      <w:r w:rsidRPr="0063725A">
        <w:rPr>
          <w:rFonts w:ascii="Book Antiqua" w:eastAsia="Times New Roman" w:hAnsi="Book Antiqua" w:cs="Arial"/>
          <w:sz w:val="24"/>
          <w:szCs w:val="24"/>
        </w:rPr>
        <w:t xml:space="preserve"> Dalam sistem masyarakat yang sederhana, hakim adalah pemimpin adat yang menafsirkan hukum dan sekaligus penegak hukum, sehingga tafsir pribadi sangat dominan. Oleh karena itulah dalam sistem masyarakat yang tradisional tidak dapat dikatakan mempunyai hukum sebagaimana yang disyaratkan oleh penganut positivisme hukum, karena jika hukum bergantung pada sikap penerimaan masyarakat, maka </w:t>
      </w:r>
      <w:r w:rsidRPr="0063725A">
        <w:rPr>
          <w:rFonts w:ascii="Book Antiqua" w:eastAsia="Times New Roman" w:hAnsi="Book Antiqua" w:cs="Arial"/>
          <w:sz w:val="24"/>
          <w:szCs w:val="24"/>
        </w:rPr>
        <w:lastRenderedPageBreak/>
        <w:t>ketidakpastian hukum pasti akan terjadi. Untuk mengatasi permasalahan hukum tersebut diperlukan adanya peraturan sekunder yang berhubungan dengan pembentukan, penafsiran, penerapan dan perubahan peraturan-peraturan primer secara prosedural formal yang berdasar pada logika rasional.</w:t>
      </w:r>
      <w:r w:rsidRPr="0063725A">
        <w:rPr>
          <w:rStyle w:val="FootnoteReference"/>
          <w:rFonts w:ascii="Book Antiqua" w:eastAsia="Times New Roman" w:hAnsi="Book Antiqua" w:cs="Arial"/>
          <w:sz w:val="24"/>
          <w:szCs w:val="24"/>
        </w:rPr>
        <w:footnoteReference w:id="147"/>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secara rasional dalam epistemologi positivisme hukum dapat menunjukkan bahwa objek hukum adalah peraturan perundang-undangan yang dapat dipahami dari beberapa varian pemahaman, seperti yang dikemukakan Hart terhadap hukum.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adanya pemahaman bahwa hukum adalah seperangkat instrumen yang bekerja di wilayah kekuasaan manusia, karena dibentuk oleh suatu sistem otoritas yang berasal dari kekuasaan manusia tersebut.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bahwa tidak ada hubungan yang menyatakan perlu atau niscaya antara hukum sebagaimana adanya dengan hukum sebagaimana yang seharusnya. Hukum tidak boleh memiliki keterkaitan dengan hal-hal di luar hukum, karena memiliki wilayah kajian yang berbeda.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telaah kajian analisis terhadap makna konsep-konsep hukum merupakan studi khusus yang harus dibedakan dari penelitian sejarah, penyelidikan sosiologis dan penilaian kritis atas hukum dalam tinjauan rasa keadilan sosial, fungsi dan tujuan hukum di masyarakat.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suatu sistem hukum merupakan sistem logika tertutup dimana keputusan-keputusan hukum yang benar dapat dihasilkan dengan mengacu pada bersumber dasar dari peraturan-peraturan hukum yang telah ditentukan sebelumnya melalui sarana logika rasional hukum secara deduktif.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xml:space="preserve">, penilaian terhadap hal-hal metayuridis dan irasionaldalam hukum </w:t>
      </w:r>
      <w:r w:rsidRPr="0063725A">
        <w:rPr>
          <w:rFonts w:ascii="Book Antiqua" w:eastAsia="Times New Roman" w:hAnsi="Book Antiqua" w:cs="Arial"/>
          <w:sz w:val="24"/>
          <w:szCs w:val="24"/>
        </w:rPr>
        <w:lastRenderedPageBreak/>
        <w:t>tidak dapat dibangun dengan jelas oleh pemikiran yang bersifat rasional, karena sumber penilaiannya bersifat intersubjektif.</w:t>
      </w:r>
      <w:r w:rsidRPr="0063725A">
        <w:rPr>
          <w:rStyle w:val="FootnoteReference"/>
          <w:rFonts w:ascii="Book Antiqua" w:eastAsia="Times New Roman" w:hAnsi="Book Antiqua" w:cs="Arial"/>
          <w:sz w:val="24"/>
          <w:szCs w:val="24"/>
        </w:rPr>
        <w:footnoteReference w:id="148"/>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terhadap objek epistemologi ilmu hukum yang dikembangkan dengan sarana penalaran akal dalam positivisme hukum berupa peraturan perundang-undangan secara jelas dan tegas seperti dikemukakan oleh Hans Kelsen. Teori hukum murni yang dikemukakan Kelsen secara tegas menjawab pertanyaan tentang apa hukum itu, bukan pertanyaan tentang apa hukum yang seharusnya. Objek hukum lebih fokus pada logika hukum yang terdapat dalam peraturan perundang-undangan, bukan psikologi, sosiologi, sejarah dan hal-hal lain yang bersifat irasional. Selain itu, sifat formal turut melengkapi pengukuhan cara kerja akal dalam hukum, sehingga hukum sebagai peraturan yang berIaku secara yuridis dari suatu proses pembentukan yang sah berdasarkan sistem yang dapat diterima secara rasional. Logika hukum formal pada dasarnya seperti dikembangkan dan menjadi karakteristik utama dari filsafat neo-kantian yang pada tahap selanjutnya berkembang menjadi aliran strukturalisme dalam hukum. Dengan demikian, objek hukum dapat berupa perbuatan yang diatur oleh hukum (</w:t>
      </w:r>
      <w:r w:rsidRPr="0063725A">
        <w:rPr>
          <w:rFonts w:ascii="Book Antiqua" w:eastAsia="Times New Roman" w:hAnsi="Book Antiqua" w:cs="Arial"/>
          <w:i/>
          <w:sz w:val="24"/>
          <w:szCs w:val="24"/>
        </w:rPr>
        <w:t>nomostatis</w:t>
      </w:r>
      <w:r w:rsidRPr="0063725A">
        <w:rPr>
          <w:rFonts w:ascii="Book Antiqua" w:eastAsia="Times New Roman" w:hAnsi="Book Antiqua" w:cs="Arial"/>
          <w:sz w:val="24"/>
          <w:szCs w:val="24"/>
        </w:rPr>
        <w:t>) hukum yang mengatur perbuatan tertentu (</w:t>
      </w:r>
      <w:r w:rsidRPr="0063725A">
        <w:rPr>
          <w:rFonts w:ascii="Book Antiqua" w:eastAsia="Times New Roman" w:hAnsi="Book Antiqua" w:cs="Arial"/>
          <w:i/>
          <w:sz w:val="24"/>
          <w:szCs w:val="24"/>
        </w:rPr>
        <w:t>nomodinamic</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49"/>
      </w:r>
      <w:r w:rsidRPr="0063725A">
        <w:rPr>
          <w:rFonts w:ascii="Book Antiqua" w:eastAsia="Times New Roman" w:hAnsi="Book Antiqua" w:cs="Arial"/>
          <w:sz w:val="24"/>
          <w:szCs w:val="24"/>
        </w:rPr>
        <w:t xml:space="preserve"> Positivisme hukum dengan sifat formalnya menurut Kelsen merupakan sebuah teknik khusus organisasi yang terbakukan dalam sistem peraturan perundang-undangan. Hukum yang telah dipersepsikan benar dalam logika hukum dapat digunakan sebagai alat untuk melakukan pemaksaan kepada pihak yang diatur. Positivisme hukum, dalam rangka memahami hukum yang besifat formal tersebut membatasi dari </w:t>
      </w:r>
      <w:r w:rsidRPr="0063725A">
        <w:rPr>
          <w:rFonts w:ascii="Book Antiqua" w:eastAsia="Times New Roman" w:hAnsi="Book Antiqua" w:cs="Arial"/>
          <w:sz w:val="24"/>
          <w:szCs w:val="24"/>
        </w:rPr>
        <w:lastRenderedPageBreak/>
        <w:t>perbincangan yang bersifat filsafat, sehingga hukum harus lepas dari semua pertimbangan yang terkait dengan kehidupan sosial dan rasa keadilan.</w:t>
      </w:r>
      <w:r w:rsidRPr="0063725A">
        <w:rPr>
          <w:rStyle w:val="FootnoteReference"/>
          <w:rFonts w:ascii="Book Antiqua" w:eastAsia="Times New Roman" w:hAnsi="Book Antiqua" w:cs="Arial"/>
          <w:sz w:val="24"/>
          <w:szCs w:val="24"/>
        </w:rPr>
        <w:footnoteReference w:id="150"/>
      </w:r>
    </w:p>
    <w:p w:rsidR="00CD411E" w:rsidRPr="0063725A" w:rsidRDefault="00DB67E0"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 xml:space="preserve">Dalam positivisme hukum yang berkaitan dengan syarat formal hukum yang melekat pada prinsip-prinsipnya, ketika dihubungkan dengan otoritas kelembagaan negara, maka kaum formalishukum sendiri mengalami pertentangan dan perpecahan pemahaman yang mengakibatkan pemahaman akan hukum positif secara formal terbelah menjadi dua. </w:t>
      </w:r>
      <w:r w:rsidR="00CD411E" w:rsidRPr="0063725A">
        <w:rPr>
          <w:rFonts w:ascii="Book Antiqua" w:eastAsia="Times New Roman" w:hAnsi="Book Antiqua" w:cs="Arial"/>
          <w:i/>
          <w:sz w:val="24"/>
          <w:szCs w:val="24"/>
        </w:rPr>
        <w:t>Pertama</w:t>
      </w:r>
      <w:r w:rsidR="00CD411E" w:rsidRPr="0063725A">
        <w:rPr>
          <w:rFonts w:ascii="Book Antiqua" w:eastAsia="Times New Roman" w:hAnsi="Book Antiqua" w:cs="Arial"/>
          <w:sz w:val="24"/>
          <w:szCs w:val="24"/>
        </w:rPr>
        <w:t xml:space="preserve">, golongan </w:t>
      </w:r>
      <w:r w:rsidR="00CD411E" w:rsidRPr="0063725A">
        <w:rPr>
          <w:rFonts w:ascii="Book Antiqua" w:eastAsia="Times New Roman" w:hAnsi="Book Antiqua" w:cs="Arial"/>
          <w:i/>
          <w:sz w:val="24"/>
          <w:szCs w:val="24"/>
        </w:rPr>
        <w:t>rule formalism</w:t>
      </w:r>
      <w:r w:rsidR="00CD411E" w:rsidRPr="0063725A">
        <w:rPr>
          <w:rFonts w:ascii="Book Antiqua" w:eastAsia="Times New Roman" w:hAnsi="Book Antiqua" w:cs="Arial"/>
          <w:sz w:val="24"/>
          <w:szCs w:val="24"/>
        </w:rPr>
        <w:t>yang memahami hukum sebagai sesuatu yang memiliki sifat identik dengan peraturan perundang-undangan dalam arti teks formal yang tertulis. Dalam hal ini hakim hanya bekerja secara mekanik sebagai corong peraturan perundang-undangan dengan menggali jawaban yang benar terhadap setiap kasus dengan hanya mengandalkan bunyi yang ada pada teks undang-undang.</w:t>
      </w:r>
      <w:r w:rsidR="00CD411E" w:rsidRPr="0063725A">
        <w:rPr>
          <w:rFonts w:ascii="Book Antiqua" w:eastAsia="Times New Roman" w:hAnsi="Book Antiqua" w:cs="Arial"/>
          <w:i/>
          <w:sz w:val="24"/>
          <w:szCs w:val="24"/>
        </w:rPr>
        <w:t>Kedua</w:t>
      </w:r>
      <w:r w:rsidR="00CD411E" w:rsidRPr="0063725A">
        <w:rPr>
          <w:rFonts w:ascii="Book Antiqua" w:eastAsia="Times New Roman" w:hAnsi="Book Antiqua" w:cs="Arial"/>
          <w:sz w:val="24"/>
          <w:szCs w:val="24"/>
        </w:rPr>
        <w:t xml:space="preserve">, golongan </w:t>
      </w:r>
      <w:r w:rsidR="00CD411E" w:rsidRPr="0063725A">
        <w:rPr>
          <w:rFonts w:ascii="Book Antiqua" w:eastAsia="Times New Roman" w:hAnsi="Book Antiqua" w:cs="Arial"/>
          <w:i/>
          <w:sz w:val="24"/>
          <w:szCs w:val="24"/>
        </w:rPr>
        <w:t>conceptual formalism</w:t>
      </w:r>
      <w:r w:rsidR="00CD411E" w:rsidRPr="0063725A">
        <w:rPr>
          <w:rFonts w:ascii="Book Antiqua" w:eastAsia="Times New Roman" w:hAnsi="Book Antiqua" w:cs="Arial"/>
          <w:sz w:val="24"/>
          <w:szCs w:val="24"/>
        </w:rPr>
        <w:t xml:space="preserve"> memaham hukum sebagai konsep-konsep dan prinsip-prinsip, seperti asas kebebasan berkontrak (</w:t>
      </w:r>
      <w:r w:rsidR="00CD411E" w:rsidRPr="0063725A">
        <w:rPr>
          <w:rFonts w:ascii="Book Antiqua" w:eastAsia="Times New Roman" w:hAnsi="Book Antiqua" w:cs="Arial"/>
          <w:i/>
          <w:sz w:val="24"/>
          <w:szCs w:val="24"/>
        </w:rPr>
        <w:t>liberty of contract</w:t>
      </w:r>
      <w:r w:rsidR="00CD411E" w:rsidRPr="0063725A">
        <w:rPr>
          <w:rFonts w:ascii="Book Antiqua" w:eastAsia="Times New Roman" w:hAnsi="Book Antiqua" w:cs="Arial"/>
          <w:sz w:val="24"/>
          <w:szCs w:val="24"/>
        </w:rPr>
        <w:t>) dan konsep hak milik (</w:t>
      </w:r>
      <w:r w:rsidR="00CD411E" w:rsidRPr="0063725A">
        <w:rPr>
          <w:rFonts w:ascii="Book Antiqua" w:eastAsia="Times New Roman" w:hAnsi="Book Antiqua" w:cs="Arial"/>
          <w:i/>
          <w:sz w:val="24"/>
          <w:szCs w:val="24"/>
        </w:rPr>
        <w:t>property ownership</w:t>
      </w:r>
      <w:r w:rsidR="00CD411E" w:rsidRPr="0063725A">
        <w:rPr>
          <w:rFonts w:ascii="Book Antiqua" w:eastAsia="Times New Roman" w:hAnsi="Book Antiqua" w:cs="Arial"/>
          <w:sz w:val="24"/>
          <w:szCs w:val="24"/>
        </w:rPr>
        <w:t>) yang memiliki sifat saling berhubungan satu dengan lainnya secara logis rasional dan yang masih melekat dalam sistem substansi hukum positif.</w:t>
      </w:r>
      <w:r w:rsidR="00CD411E" w:rsidRPr="0063725A">
        <w:rPr>
          <w:rStyle w:val="FootnoteReference"/>
          <w:rFonts w:ascii="Book Antiqua" w:eastAsia="Times New Roman" w:hAnsi="Book Antiqua" w:cs="Arial"/>
          <w:sz w:val="24"/>
          <w:szCs w:val="24"/>
        </w:rPr>
        <w:footnoteReference w:id="151"/>
      </w:r>
      <w:r w:rsidR="00CD411E" w:rsidRPr="0063725A">
        <w:rPr>
          <w:rFonts w:ascii="Book Antiqua" w:eastAsia="Times New Roman" w:hAnsi="Book Antiqua" w:cs="Arial"/>
          <w:sz w:val="24"/>
          <w:szCs w:val="24"/>
        </w:rPr>
        <w:t xml:space="preserve"> Dalam dua golongan formalism hukum tersebut meskipun memiliki pemahaman yang berbeda, tetapi masih tetap mendasarkan pada cara berpikir rasional terhadap hukum yang telah dipositifkan keberlakuannya.</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Objek epistemologi ilmu hukum yang dikembangkan dengan sarana penalaran akal dapat dipahami dari pemikiran hukum Kelsen.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,tujuan hukum untuk mengurangi kemajemukan hukum menjadi satu kesatuan. Hukum hendak dibawa </w:t>
      </w:r>
      <w:r w:rsidRPr="0063725A">
        <w:rPr>
          <w:rFonts w:ascii="Book Antiqua" w:eastAsia="Times New Roman" w:hAnsi="Book Antiqua" w:cs="Arial"/>
          <w:sz w:val="24"/>
          <w:szCs w:val="24"/>
        </w:rPr>
        <w:lastRenderedPageBreak/>
        <w:t xml:space="preserve">masuk ke dalam disiplin ilmu yang mandiri di bawah naungan metode analisis ilmiah yang mampu menampung semua pengertian tentang hukum.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hukum merupakan hukum positif yang sedang berlaku dan bukan menjelaskan hukum yang seharusnya.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hukum merupakan ilmu pengetahuan bersifat normatif yang berisi aturan-aturan tersusun secara rijid dan jelas.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hukum merupakan norma hukum yang tidak berhubungan dengan daya kerjanya, karena telah dipersepsikan sebagai sesuatu yang sudah baik.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hukum bersifat formal yang terkait dengan bagaimana cara malakukan pembentukan, implementasidan mengubah hukum.</w:t>
      </w:r>
      <w:r w:rsidRPr="0063725A">
        <w:rPr>
          <w:rStyle w:val="FootnoteReference"/>
          <w:rFonts w:ascii="Book Antiqua" w:eastAsia="Times New Roman" w:hAnsi="Book Antiqua" w:cs="Arial"/>
          <w:sz w:val="24"/>
          <w:szCs w:val="24"/>
        </w:rPr>
        <w:footnoteReference w:id="152"/>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DB67E0">
        <w:rPr>
          <w:rFonts w:ascii="Book Antiqua" w:eastAsia="Times New Roman" w:hAnsi="Book Antiqua" w:cs="Arial"/>
          <w:sz w:val="24"/>
          <w:szCs w:val="24"/>
        </w:rPr>
        <w:t xml:space="preserve">          </w:t>
      </w:r>
      <w:r w:rsidRPr="0063725A">
        <w:rPr>
          <w:rFonts w:ascii="Book Antiqua" w:eastAsia="Times New Roman" w:hAnsi="Book Antiqua" w:cs="Arial"/>
          <w:sz w:val="24"/>
          <w:szCs w:val="24"/>
        </w:rPr>
        <w:t>Skema objek kajian terhadap epistemologi ilmu hukum yang dikembangkan dengan sarana penalaran akal dapat digambarkan sebagai berikut:</w:t>
      </w: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Text Box 125" o:spid="_x0000_s1037" type="#_x0000_t202" style="position:absolute;left:0;text-align:left;margin-left:175.3pt;margin-top:5.7pt;width:102.15pt;height:27.6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" fillcolor="window" strokeweight=".5pt">
            <v:textbox>
              <w:txbxContent>
                <w:p w:rsidR="004E75CF" w:rsidRPr="00A03BF1" w:rsidRDefault="004E75CF" w:rsidP="008A0F12">
                  <w:pPr>
                    <w:jc w:val="center"/>
                    <w:rPr>
                      <w:rFonts w:ascii="Book Antiqua" w:hAnsi="Book Antiqua" w:cs="Arial"/>
                      <w:color w:val="000000" w:themeColor="text1"/>
                    </w:rPr>
                  </w:pPr>
                  <w:r w:rsidRPr="00A03BF1">
                    <w:rPr>
                      <w:rFonts w:ascii="Book Antiqua" w:hAnsi="Book Antiqua" w:cs="Arial"/>
                      <w:color w:val="000000" w:themeColor="text1"/>
                    </w:rPr>
                    <w:t>Basic Norm</w:t>
                  </w:r>
                </w:p>
              </w:txbxContent>
            </v:textbox>
          </v:shape>
        </w:pict>
      </w: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type id="_x0000_t32" coordsize="21600,21600" o:spt="32" o:oned="t" path="m,l21600,21600e" filled="f">
            <v:path arrowok="t" fillok="f" o:connecttype="none"/>
            <o:lock v:ext="edit" shapetype="t"/>
          </v:shapetype>
          <v:shape id="Straight Arrow Connector 126" o:spid="_x0000_s1046" type="#_x0000_t32" style="position:absolute;left:0;text-align:left;margin-left:227.25pt;margin-top:14.4pt;width:0;height:21.75pt;z-index:25168179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" strokecolor="windowText">
            <v:stroke startarrow="open" endarrow="open"/>
          </v:shape>
        </w:pict>
      </w: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Text Box 127" o:spid="_x0000_s1038" type="#_x0000_t202" style="position:absolute;left:0;text-align:left;margin-left:175.3pt;margin-top:17.05pt;width:102.1pt;height:26.8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" fillcolor="window" strokeweight=".5pt">
            <v:textbox>
              <w:txbxContent>
                <w:p w:rsidR="004E75CF" w:rsidRPr="00A03BF1" w:rsidRDefault="004E75CF" w:rsidP="00A03BF1">
                  <w:pPr>
                    <w:spacing w:after="0" w:line="240" w:lineRule="auto"/>
                    <w:jc w:val="center"/>
                    <w:rPr>
                      <w:rFonts w:ascii="Book Antiqua" w:hAnsi="Book Antiqua" w:cs="Arial"/>
                      <w:color w:val="000000" w:themeColor="text1"/>
                    </w:rPr>
                  </w:pPr>
                  <w:r w:rsidRPr="00A03BF1">
                    <w:rPr>
                      <w:rFonts w:ascii="Book Antiqua" w:hAnsi="Book Antiqua" w:cs="Arial"/>
                      <w:color w:val="000000" w:themeColor="text1"/>
                    </w:rPr>
                    <w:t>Peratura</w:t>
                  </w:r>
                  <w:r w:rsidRPr="00A03BF1">
                    <w:rPr>
                      <w:rFonts w:ascii="Book Antiqua" w:hAnsi="Book Antiqua"/>
                      <w:color w:val="000000" w:themeColor="text1"/>
                    </w:rPr>
                    <w:t xml:space="preserve">n </w:t>
                  </w:r>
                  <w:r w:rsidRPr="00A03BF1">
                    <w:rPr>
                      <w:rFonts w:ascii="Book Antiqua" w:hAnsi="Book Antiqua" w:cs="Arial"/>
                      <w:color w:val="000000" w:themeColor="text1"/>
                    </w:rPr>
                    <w:t>Dasar</w:t>
                  </w:r>
                </w:p>
              </w:txbxContent>
            </v:textbox>
          </v:shape>
        </w:pict>
      </w:r>
    </w:p>
    <w:p w:rsidR="00CD411E" w:rsidRPr="0063725A" w:rsidRDefault="00CD411E" w:rsidP="0063725A">
      <w:pPr>
        <w:tabs>
          <w:tab w:val="right" w:leader="dot" w:pos="7938"/>
        </w:tabs>
        <w:spacing w:after="0" w:line="360" w:lineRule="auto"/>
        <w:jc w:val="both"/>
        <w:rPr>
          <w:rFonts w:ascii="Book Antiqua" w:eastAsia="Times New Roman" w:hAnsi="Book Antiqua" w:cs="Arial"/>
          <w:sz w:val="24"/>
          <w:szCs w:val="24"/>
        </w:rPr>
      </w:pP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Straight Arrow Connector 128" o:spid="_x0000_s1047" type="#_x0000_t32" style="position:absolute;left:0;text-align:left;margin-left:227.25pt;margin-top:5.95pt;width:0;height:19.3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" strokecolor="windowText">
            <v:stroke startarrow="open" endarrow="open"/>
          </v:shape>
        </w:pict>
      </w: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Text Box 129" o:spid="_x0000_s1039" type="#_x0000_t202" style="position:absolute;left:0;text-align:left;margin-left:169.45pt;margin-top:6.3pt;width:112.95pt;height:30.1pt;z-index:25167462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" fillcolor="window" strokeweight=".5pt">
            <v:textbox>
              <w:txbxContent>
                <w:p w:rsidR="004E75CF" w:rsidRPr="00094A62" w:rsidRDefault="004E75CF" w:rsidP="00A03BF1">
                  <w:pPr>
                    <w:spacing w:after="0" w:line="240" w:lineRule="auto"/>
                    <w:jc w:val="center"/>
                    <w:rPr>
                      <w:rFonts w:ascii="Arial" w:hAnsi="Arial" w:cs="Arial"/>
                      <w:sz w:val="18"/>
                      <w:szCs w:val="18"/>
                    </w:rPr>
                  </w:pPr>
                  <w:r w:rsidRPr="00A03BF1">
                    <w:rPr>
                      <w:rFonts w:ascii="Book Antiqua" w:hAnsi="Book Antiqua" w:cs="Arial"/>
                      <w:color w:val="000000" w:themeColor="text1"/>
                      <w:sz w:val="18"/>
                      <w:szCs w:val="18"/>
                    </w:rPr>
                    <w:t>Peraturan pe</w:t>
                  </w:r>
                  <w:r w:rsidRPr="00A03BF1">
                    <w:rPr>
                      <w:rFonts w:ascii="Book Antiqua" w:hAnsi="Book Antiqua"/>
                      <w:color w:val="000000" w:themeColor="text1"/>
                      <w:sz w:val="18"/>
                      <w:szCs w:val="18"/>
                    </w:rPr>
                    <w:t xml:space="preserve"> Peraturan perundang-undangan</w:t>
                  </w:r>
                  <w:r>
                    <w:rPr>
                      <w:sz w:val="18"/>
                      <w:szCs w:val="18"/>
                    </w:rPr>
                    <w:t xml:space="preserve"> </w:t>
                  </w:r>
                  <w:r>
                    <w:rPr>
                      <w:rFonts w:ascii="Arial" w:hAnsi="Arial" w:cs="Arial"/>
                      <w:sz w:val="18"/>
                      <w:szCs w:val="18"/>
                    </w:rPr>
                    <w:t>rundang-u</w:t>
                  </w:r>
                  <w:r w:rsidRPr="00094A62">
                    <w:rPr>
                      <w:rFonts w:ascii="Arial" w:hAnsi="Arial" w:cs="Arial"/>
                      <w:sz w:val="18"/>
                      <w:szCs w:val="18"/>
                    </w:rPr>
                    <w:t>ndangan</w:t>
                  </w:r>
                </w:p>
              </w:txbxContent>
            </v:textbox>
          </v:shape>
        </w:pict>
      </w: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Straight Arrow Connector 135" o:spid="_x0000_s1048" type="#_x0000_t32" style="position:absolute;left:0;text-align:left;margin-left:227.25pt;margin-top:17.4pt;width:0;height:2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" strokecolor="windowText">
            <v:stroke startarrow="open" endarrow="open"/>
          </v:shape>
        </w:pict>
      </w:r>
    </w:p>
    <w:p w:rsidR="00CD411E" w:rsidRPr="0063725A" w:rsidRDefault="00CD411E" w:rsidP="0063725A">
      <w:pPr>
        <w:tabs>
          <w:tab w:val="right" w:leader="dot" w:pos="7938"/>
        </w:tabs>
        <w:spacing w:after="0" w:line="360" w:lineRule="auto"/>
        <w:jc w:val="both"/>
        <w:rPr>
          <w:rFonts w:ascii="Book Antiqua" w:eastAsia="Times New Roman" w:hAnsi="Book Antiqua" w:cs="Arial"/>
          <w:sz w:val="24"/>
          <w:szCs w:val="24"/>
        </w:rPr>
      </w:pPr>
    </w:p>
    <w:p w:rsidR="00CD411E" w:rsidRPr="0063725A" w:rsidRDefault="00D521E1" w:rsidP="0063725A">
      <w:pPr>
        <w:tabs>
          <w:tab w:val="right" w:leader="dot" w:pos="7938"/>
        </w:tabs>
        <w:spacing w:after="0" w:line="360" w:lineRule="auto"/>
        <w:jc w:val="both"/>
        <w:rPr>
          <w:rFonts w:ascii="Book Antiqua" w:eastAsia="Times New Roman" w:hAnsi="Book Antiqua" w:cs="Arial"/>
          <w:sz w:val="24"/>
          <w:szCs w:val="24"/>
        </w:rPr>
      </w:pPr>
      <w:r w:rsidRPr="00D521E1">
        <w:rPr>
          <w:rFonts w:ascii="Book Antiqua" w:eastAsia="Times New Roman" w:hAnsi="Book Antiqua" w:cs="Arial"/>
          <w:noProof/>
          <w:sz w:val="24"/>
          <w:szCs w:val="24"/>
          <w:lang w:val="en-GB" w:eastAsia="en-GB"/>
        </w:rPr>
        <w:pict>
          <v:shape id="Text Box 136" o:spid="_x0000_s1042" type="#_x0000_t202" style="position:absolute;left:0;text-align:left;margin-left:41.3pt;margin-top:11.2pt;width:102.1pt;height:31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" fillcolor="window" strokeweight=".5pt">
            <v:textbox>
              <w:txbxContent>
                <w:p w:rsidR="004E75CF" w:rsidRPr="00A03BF1" w:rsidRDefault="004E75CF" w:rsidP="00CD411E">
                  <w:pPr>
                    <w:spacing w:after="0" w:line="240" w:lineRule="auto"/>
                    <w:jc w:val="center"/>
                    <w:rPr>
                      <w:rFonts w:ascii="Book Antiqua" w:hAnsi="Book Antiqua" w:cs="Arial"/>
                      <w:color w:val="000000" w:themeColor="text1"/>
                      <w:sz w:val="20"/>
                      <w:szCs w:val="20"/>
                    </w:rPr>
                  </w:pPr>
                  <w:r w:rsidRPr="00A03BF1">
                    <w:rPr>
                      <w:rFonts w:ascii="Book Antiqua" w:hAnsi="Book Antiqua"/>
                      <w:color w:val="000000" w:themeColor="text1"/>
                      <w:sz w:val="20"/>
                      <w:szCs w:val="20"/>
                    </w:rPr>
                    <w:t>Putusan pengadilan</w:t>
                  </w:r>
                </w:p>
              </w:txbxContent>
            </v:textbox>
          </v:shape>
        </w:pict>
      </w:r>
      <w:r w:rsidRPr="00D521E1">
        <w:rPr>
          <w:rFonts w:ascii="Book Antiqua" w:eastAsia="Times New Roman" w:hAnsi="Book Antiqua" w:cs="Arial"/>
          <w:noProof/>
          <w:sz w:val="24"/>
          <w:szCs w:val="24"/>
          <w:lang w:val="en-GB" w:eastAsia="en-GB"/>
        </w:rPr>
        <w:pict>
          <v:shape id="Text Box 137" o:spid="_x0000_s1041" type="#_x0000_t202" style="position:absolute;left:0;text-align:left;margin-left:308.4pt;margin-top:14.6pt;width:102.1pt;height:27.6pt;z-index:25167667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" fillcolor="window" strokeweight=".5pt">
            <v:textbox>
              <w:txbxContent>
                <w:p w:rsidR="004E75CF" w:rsidRPr="00A03BF1" w:rsidRDefault="004E75CF" w:rsidP="00CD411E">
                  <w:pPr>
                    <w:spacing w:after="0" w:line="240" w:lineRule="auto"/>
                    <w:jc w:val="center"/>
                    <w:rPr>
                      <w:rFonts w:ascii="Book Antiqua" w:hAnsi="Book Antiqua" w:cs="Arial"/>
                      <w:color w:val="000000" w:themeColor="text1"/>
                      <w:sz w:val="20"/>
                      <w:szCs w:val="20"/>
                    </w:rPr>
                  </w:pPr>
                  <w:r w:rsidRPr="00A03BF1">
                    <w:rPr>
                      <w:rFonts w:ascii="Book Antiqua" w:hAnsi="Book Antiqua" w:cs="Arial"/>
                      <w:color w:val="000000" w:themeColor="text1"/>
                      <w:sz w:val="20"/>
                      <w:szCs w:val="20"/>
                    </w:rPr>
                    <w:t>Peratura</w:t>
                  </w:r>
                  <w:r w:rsidRPr="00A03BF1">
                    <w:rPr>
                      <w:rFonts w:ascii="Book Antiqua" w:hAnsi="Book Antiqua"/>
                      <w:color w:val="000000" w:themeColor="text1"/>
                      <w:sz w:val="20"/>
                      <w:szCs w:val="20"/>
                    </w:rPr>
                    <w:t xml:space="preserve">n </w:t>
                  </w:r>
                  <w:r w:rsidRPr="00A03BF1">
                    <w:rPr>
                      <w:rFonts w:ascii="Book Antiqua" w:hAnsi="Book Antiqua" w:cs="Arial"/>
                      <w:color w:val="000000" w:themeColor="text1"/>
                      <w:sz w:val="20"/>
                      <w:szCs w:val="20"/>
                    </w:rPr>
                    <w:t>sederajat</w:t>
                  </w:r>
                </w:p>
              </w:txbxContent>
            </v:textbox>
          </v:shape>
        </w:pict>
      </w:r>
      <w:r w:rsidRPr="00D521E1">
        <w:rPr>
          <w:rFonts w:ascii="Book Antiqua" w:eastAsia="Times New Roman" w:hAnsi="Book Antiqua" w:cs="Arial"/>
          <w:noProof/>
          <w:sz w:val="24"/>
          <w:szCs w:val="24"/>
          <w:lang w:val="en-GB" w:eastAsia="en-GB"/>
        </w:rPr>
        <w:pict>
          <v:shape id="Text Box 141" o:spid="_x0000_s1040" type="#_x0000_t202" style="position:absolute;left:0;text-align:left;margin-left:169.45pt;margin-top:2.85pt;width:113pt;height:45.2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" fillcolor="window" strokeweight=".5pt">
            <v:textbox>
              <w:txbxContent>
                <w:p w:rsidR="004E75CF" w:rsidRPr="008B1500" w:rsidRDefault="004E75CF" w:rsidP="00A03BF1">
                  <w:pPr>
                    <w:spacing w:after="0" w:line="240" w:lineRule="auto"/>
                    <w:jc w:val="center"/>
                    <w:rPr>
                      <w:rFonts w:ascii="Arial" w:hAnsi="Arial" w:cs="Arial"/>
                      <w:sz w:val="20"/>
                      <w:szCs w:val="20"/>
                    </w:rPr>
                  </w:pPr>
                  <w:r w:rsidRPr="00A03BF1">
                    <w:rPr>
                      <w:rFonts w:ascii="Book Antiqua" w:hAnsi="Book Antiqua" w:cs="Arial"/>
                      <w:color w:val="000000" w:themeColor="text1"/>
                      <w:sz w:val="20"/>
                      <w:szCs w:val="20"/>
                    </w:rPr>
                    <w:t>Peraturan</w:t>
                  </w:r>
                  <w:r>
                    <w:rPr>
                      <w:rFonts w:ascii="Book Antiqua" w:hAnsi="Book Antiqua" w:cs="Arial"/>
                      <w:color w:val="000000" w:themeColor="text1"/>
                      <w:sz w:val="20"/>
                      <w:szCs w:val="20"/>
                    </w:rPr>
                    <w:t xml:space="preserve"> </w:t>
                  </w:r>
                  <w:r w:rsidRPr="00A03BF1">
                    <w:rPr>
                      <w:rFonts w:ascii="Book Antiqua" w:hAnsi="Book Antiqua"/>
                      <w:color w:val="000000" w:themeColor="text1"/>
                      <w:sz w:val="20"/>
                      <w:szCs w:val="20"/>
                    </w:rPr>
                    <w:t>perundang-</w:t>
                  </w:r>
                  <w:r>
                    <w:rPr>
                      <w:rFonts w:ascii="Book Antiqua" w:hAnsi="Book Antiqua"/>
                      <w:color w:val="000000" w:themeColor="text1"/>
                      <w:sz w:val="20"/>
                      <w:szCs w:val="20"/>
                    </w:rPr>
                    <w:t xml:space="preserve">undangan tertentu </w:t>
                  </w:r>
                  <w:r w:rsidRPr="008B1500">
                    <w:rPr>
                      <w:rFonts w:ascii="Arial" w:hAnsi="Arial" w:cs="Arial"/>
                      <w:sz w:val="20"/>
                      <w:szCs w:val="20"/>
                    </w:rPr>
                    <w:t>rtentu</w:t>
                  </w:r>
                </w:p>
              </w:txbxContent>
            </v:textbox>
          </v:shape>
        </w:pict>
      </w:r>
    </w:p>
    <w:p w:rsidR="00CD411E" w:rsidRPr="0063725A" w:rsidRDefault="00D521E1" w:rsidP="0063725A">
      <w:pPr>
        <w:tabs>
          <w:tab w:val="right" w:leader="dot" w:pos="7938"/>
        </w:tabs>
        <w:spacing w:after="0" w:line="360" w:lineRule="auto"/>
        <w:jc w:val="both"/>
        <w:rPr>
          <w:rFonts w:ascii="Book Antiqua" w:hAnsi="Book Antiqua" w:cs="Arial"/>
          <w:b/>
          <w:sz w:val="24"/>
          <w:szCs w:val="24"/>
        </w:rPr>
      </w:pPr>
      <w:r w:rsidRPr="00D521E1">
        <w:rPr>
          <w:rFonts w:ascii="Book Antiqua" w:hAnsi="Book Antiqua" w:cs="Arial"/>
          <w:b/>
          <w:noProof/>
          <w:sz w:val="24"/>
          <w:szCs w:val="24"/>
          <w:lang w:val="en-GB" w:eastAsia="en-GB"/>
        </w:rPr>
        <w:pict>
          <v:shape id="Straight Arrow Connector 142" o:spid="_x0000_s1050" type="#_x0000_t32" style="position:absolute;left:0;text-align:left;margin-left:282.45pt;margin-top:7.4pt;width:26pt;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" strokecolor="windowText">
            <v:stroke startarrow="open" endarrow="open"/>
          </v:shape>
        </w:pict>
      </w:r>
      <w:r w:rsidRPr="00D521E1">
        <w:rPr>
          <w:rFonts w:ascii="Book Antiqua" w:hAnsi="Book Antiqua" w:cs="Arial"/>
          <w:b/>
          <w:noProof/>
          <w:sz w:val="24"/>
          <w:szCs w:val="24"/>
          <w:lang w:val="en-GB" w:eastAsia="en-GB"/>
        </w:rPr>
        <w:pict>
          <v:shape id="Straight Arrow Connector 143" o:spid="_x0000_s1049" type="#_x0000_t32" style="position:absolute;left:0;text-align:left;margin-left:143.45pt;margin-top:7.4pt;width:26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" strokecolor="windowText">
            <v:stroke startarrow="open" endarrow="open"/>
          </v:shape>
        </w:pict>
      </w:r>
    </w:p>
    <w:p w:rsidR="00CD411E" w:rsidRPr="0063725A" w:rsidRDefault="00D521E1" w:rsidP="0063725A">
      <w:pPr>
        <w:tabs>
          <w:tab w:val="right" w:leader="dot" w:pos="7938"/>
        </w:tabs>
        <w:spacing w:after="0" w:line="360" w:lineRule="auto"/>
        <w:jc w:val="both"/>
        <w:rPr>
          <w:rFonts w:ascii="Book Antiqua" w:hAnsi="Book Antiqua" w:cs="Arial"/>
          <w:b/>
          <w:sz w:val="24"/>
          <w:szCs w:val="24"/>
        </w:rPr>
      </w:pPr>
      <w:r w:rsidRPr="00D521E1">
        <w:rPr>
          <w:rFonts w:ascii="Book Antiqua" w:hAnsi="Book Antiqua" w:cs="Arial"/>
          <w:b/>
          <w:noProof/>
          <w:sz w:val="24"/>
          <w:szCs w:val="24"/>
          <w:lang w:val="en-GB" w:eastAsia="en-GB"/>
        </w:rPr>
        <w:pict>
          <v:shape id="Straight Arrow Connector 144" o:spid="_x0000_s1053" type="#_x0000_t32" style="position:absolute;left:0;text-align:left;margin-left:227.25pt;margin-top:10.2pt;width:0;height:25.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" strokecolor="windowText">
            <v:stroke startarrow="open" endarrow="open"/>
          </v:shape>
        </w:pict>
      </w:r>
      <w:r w:rsidRPr="00D521E1">
        <w:rPr>
          <w:rFonts w:ascii="Book Antiqua" w:hAnsi="Book Antiqua" w:cs="Arial"/>
          <w:b/>
          <w:noProof/>
          <w:sz w:val="24"/>
          <w:szCs w:val="24"/>
          <w:lang w:val="en-GB" w:eastAsia="en-GB"/>
        </w:rPr>
        <w:pict>
          <v:shape id="Straight Arrow Connector 145" o:spid="_x0000_s1052" type="#_x0000_t32" style="position:absolute;left:0;text-align:left;margin-left:282.5pt;margin-top:10.2pt;width:25.95pt;height:25.9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" strokecolor="windowText">
            <v:stroke startarrow="open" endarrow="open"/>
          </v:shape>
        </w:pict>
      </w:r>
      <w:r w:rsidRPr="00D521E1">
        <w:rPr>
          <w:rFonts w:ascii="Book Antiqua" w:hAnsi="Book Antiqua" w:cs="Arial"/>
          <w:b/>
          <w:noProof/>
          <w:sz w:val="24"/>
          <w:szCs w:val="24"/>
          <w:lang w:val="en-GB" w:eastAsia="en-GB"/>
        </w:rPr>
        <w:pict>
          <v:shape id="Straight Arrow Connector 146" o:spid="_x0000_s1051" type="#_x0000_t32" style="position:absolute;left:0;text-align:left;margin-left:143.5pt;margin-top:10.2pt;width:25.95pt;height:25.9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" strokecolor="windowText">
            <v:stroke startarrow="open" endarrow="open"/>
          </v:shape>
        </w:pict>
      </w:r>
    </w:p>
    <w:p w:rsidR="00CD411E" w:rsidRPr="0063725A" w:rsidRDefault="00D521E1" w:rsidP="0063725A">
      <w:pPr>
        <w:tabs>
          <w:tab w:val="right" w:leader="dot" w:pos="7938"/>
        </w:tabs>
        <w:spacing w:after="0" w:line="360" w:lineRule="auto"/>
        <w:jc w:val="both"/>
        <w:rPr>
          <w:rFonts w:ascii="Book Antiqua" w:hAnsi="Book Antiqua" w:cs="Arial"/>
          <w:b/>
          <w:sz w:val="24"/>
          <w:szCs w:val="24"/>
        </w:rPr>
      </w:pPr>
      <w:r w:rsidRPr="00D521E1">
        <w:rPr>
          <w:rFonts w:ascii="Book Antiqua" w:hAnsi="Book Antiqua" w:cs="Arial"/>
          <w:b/>
          <w:noProof/>
          <w:sz w:val="24"/>
          <w:szCs w:val="24"/>
          <w:lang w:val="en-GB" w:eastAsia="en-GB"/>
        </w:rPr>
        <w:pict>
          <v:shape id="Text Box 147" o:spid="_x0000_s1045" type="#_x0000_t202" style="position:absolute;left:0;text-align:left;margin-left:41.35pt;margin-top:17.15pt;width:102.1pt;height:30.1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" fillcolor="window" strokeweight=".5pt">
            <v:textbox>
              <w:txbxContent>
                <w:p w:rsidR="004E75CF" w:rsidRPr="00A03BF1" w:rsidRDefault="004E75CF" w:rsidP="00CD411E">
                  <w:pPr>
                    <w:jc w:val="center"/>
                    <w:rPr>
                      <w:rFonts w:ascii="Book Antiqua" w:hAnsi="Book Antiqua" w:cs="Arial"/>
                      <w:sz w:val="20"/>
                      <w:szCs w:val="20"/>
                    </w:rPr>
                  </w:pPr>
                  <w:r w:rsidRPr="00A03BF1">
                    <w:rPr>
                      <w:rFonts w:ascii="Book Antiqua" w:hAnsi="Book Antiqua"/>
                      <w:color w:val="000000" w:themeColor="text1"/>
                      <w:sz w:val="20"/>
                      <w:szCs w:val="20"/>
                    </w:rPr>
                    <w:t>Dokumen kontrak</w:t>
                  </w:r>
                  <w:r w:rsidRPr="00A03BF1">
                    <w:rPr>
                      <w:rFonts w:ascii="Book Antiqua" w:hAnsi="Book Antiqua"/>
                      <w:sz w:val="20"/>
                      <w:szCs w:val="20"/>
                    </w:rPr>
                    <w:t xml:space="preserve"> </w:t>
                  </w:r>
                  <w:r w:rsidRPr="00A03BF1">
                    <w:rPr>
                      <w:rFonts w:ascii="Book Antiqua" w:hAnsi="Book Antiqua" w:cs="Arial"/>
                      <w:sz w:val="20"/>
                      <w:szCs w:val="20"/>
                    </w:rPr>
                    <w:t>ontrak</w:t>
                  </w:r>
                </w:p>
              </w:txbxContent>
            </v:textbox>
          </v:shape>
        </w:pict>
      </w:r>
      <w:r w:rsidRPr="00D521E1">
        <w:rPr>
          <w:rFonts w:ascii="Book Antiqua" w:hAnsi="Book Antiqua" w:cs="Arial"/>
          <w:b/>
          <w:noProof/>
          <w:sz w:val="24"/>
          <w:szCs w:val="24"/>
          <w:lang w:val="en-GB" w:eastAsia="en-GB"/>
        </w:rPr>
        <w:pict>
          <v:shape id="Text Box 148" o:spid="_x0000_s1044" type="#_x0000_t202" style="position:absolute;left:0;text-align:left;margin-left:308.4pt;margin-top:17.15pt;width:102.1pt;height:30.1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" fillcolor="window" strokeweight=".5pt">
            <v:textbox>
              <w:txbxContent>
                <w:p w:rsidR="004E75CF" w:rsidRPr="00A03BF1" w:rsidRDefault="004E75CF" w:rsidP="00A03BF1">
                  <w:pPr>
                    <w:spacing w:after="0" w:line="240" w:lineRule="auto"/>
                    <w:jc w:val="center"/>
                    <w:rPr>
                      <w:rFonts w:ascii="Book Antiqua" w:hAnsi="Book Antiqua" w:cs="Arial"/>
                      <w:color w:val="000000" w:themeColor="text1"/>
                    </w:rPr>
                  </w:pPr>
                  <w:r>
                    <w:rPr>
                      <w:rFonts w:ascii="Book Antiqua" w:hAnsi="Book Antiqua"/>
                      <w:color w:val="000000" w:themeColor="text1"/>
                    </w:rPr>
                    <w:t>Doktrin hukum</w:t>
                  </w:r>
                </w:p>
              </w:txbxContent>
            </v:textbox>
          </v:shape>
        </w:pict>
      </w:r>
      <w:r w:rsidRPr="00D521E1">
        <w:rPr>
          <w:rFonts w:ascii="Book Antiqua" w:hAnsi="Book Antiqua" w:cs="Arial"/>
          <w:b/>
          <w:noProof/>
          <w:sz w:val="24"/>
          <w:szCs w:val="24"/>
          <w:lang w:val="en-GB" w:eastAsia="en-GB"/>
        </w:rPr>
        <w:pict>
          <v:shape id="Text Box 149" o:spid="_x0000_s1043" type="#_x0000_t202" style="position:absolute;left:0;text-align:left;margin-left:175.3pt;margin-top:17.15pt;width:102.1pt;height:30.1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" fillcolor="window" strokeweight=".5pt">
            <v:textbox>
              <w:txbxContent>
                <w:p w:rsidR="004E75CF" w:rsidRPr="00094A62" w:rsidRDefault="004E75CF" w:rsidP="00CD411E">
                  <w:pPr>
                    <w:spacing w:after="0" w:line="240" w:lineRule="auto"/>
                    <w:jc w:val="center"/>
                    <w:rPr>
                      <w:rFonts w:ascii="Arial" w:hAnsi="Arial" w:cs="Arial"/>
                      <w:sz w:val="20"/>
                      <w:szCs w:val="20"/>
                    </w:rPr>
                  </w:pPr>
                  <w:r w:rsidRPr="00A03BF1">
                    <w:rPr>
                      <w:rFonts w:ascii="Book Antiqua" w:hAnsi="Book Antiqua"/>
                      <w:color w:val="000000" w:themeColor="text1"/>
                      <w:sz w:val="20"/>
                      <w:szCs w:val="20"/>
                    </w:rPr>
                    <w:t>Peraturan dibawahnya</w:t>
                  </w:r>
                  <w:r>
                    <w:rPr>
                      <w:sz w:val="20"/>
                      <w:szCs w:val="20"/>
                    </w:rPr>
                    <w:t xml:space="preserve"> </w:t>
                  </w:r>
                  <w:r w:rsidRPr="00094A62">
                    <w:rPr>
                      <w:rFonts w:ascii="Arial" w:hAnsi="Arial" w:cs="Arial"/>
                      <w:sz w:val="20"/>
                      <w:szCs w:val="20"/>
                    </w:rPr>
                    <w:t>Peraturan dibawahnya</w:t>
                  </w:r>
                </w:p>
              </w:txbxContent>
            </v:textbox>
          </v:shape>
        </w:pict>
      </w:r>
    </w:p>
    <w:p w:rsidR="00CD411E" w:rsidRPr="0063725A" w:rsidRDefault="00CD411E" w:rsidP="0063725A">
      <w:pPr>
        <w:tabs>
          <w:tab w:val="right" w:leader="dot" w:pos="7938"/>
        </w:tabs>
        <w:spacing w:after="0" w:line="360" w:lineRule="auto"/>
        <w:jc w:val="both"/>
        <w:rPr>
          <w:rFonts w:ascii="Book Antiqua" w:hAnsi="Book Antiqua" w:cs="Arial"/>
          <w:b/>
          <w:sz w:val="24"/>
          <w:szCs w:val="24"/>
        </w:rPr>
      </w:pPr>
    </w:p>
    <w:p w:rsidR="00CD411E" w:rsidRPr="0063725A" w:rsidRDefault="00CD411E" w:rsidP="0063725A">
      <w:pPr>
        <w:tabs>
          <w:tab w:val="right" w:leader="dot" w:pos="7938"/>
        </w:tabs>
        <w:spacing w:after="0" w:line="360" w:lineRule="auto"/>
        <w:jc w:val="both"/>
        <w:rPr>
          <w:rFonts w:ascii="Book Antiqua" w:hAnsi="Book Antiqua" w:cs="Arial"/>
          <w:b/>
          <w:sz w:val="24"/>
          <w:szCs w:val="24"/>
        </w:rPr>
      </w:pP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ab/>
      </w:r>
      <w:r w:rsidR="0054225D">
        <w:rPr>
          <w:rFonts w:ascii="Book Antiqua" w:hAnsi="Book Antiqua" w:cs="Arial"/>
          <w:sz w:val="24"/>
          <w:szCs w:val="24"/>
        </w:rPr>
        <w:t xml:space="preserve">          </w:t>
      </w:r>
      <w:r w:rsidRPr="0063725A">
        <w:rPr>
          <w:rFonts w:ascii="Book Antiqua" w:hAnsi="Book Antiqua" w:cs="Arial"/>
          <w:sz w:val="24"/>
          <w:szCs w:val="24"/>
        </w:rPr>
        <w:t xml:space="preserve">Epistemologi ilmu hukum yang dikembangkan dengan sarana penalaran akal sebagaimana telah dijelaskan dalam positivisme hukum memiliki objek utama berupa peraturan perundang-undangan. Objek hukum tersebut dalam ilmu hukum sering disebut sebagai data sekunder. Data sekunder adalah data yang diperoleh bukan dari hasil observasi secara langsung dilapangan, tetapi diperoleh dari hasil studi pustaka. Istilah data sekunder dalam ilmu hukum sering disebut sebagai bahan hukum dan selanjutnya bahan hukum dibagi menjadi tiga kelompok. </w:t>
      </w:r>
      <w:r w:rsidRPr="0063725A">
        <w:rPr>
          <w:rFonts w:ascii="Book Antiqua" w:hAnsi="Book Antiqua" w:cs="Arial"/>
          <w:i/>
          <w:sz w:val="24"/>
          <w:szCs w:val="24"/>
        </w:rPr>
        <w:t>Pertama</w:t>
      </w:r>
      <w:r w:rsidRPr="0063725A">
        <w:rPr>
          <w:rFonts w:ascii="Book Antiqua" w:hAnsi="Book Antiqua" w:cs="Arial"/>
          <w:sz w:val="24"/>
          <w:szCs w:val="24"/>
        </w:rPr>
        <w:t xml:space="preserve">, bahan hukum primer yang merupakan bahan hukum utama yang terdiri dari; peraturan perundang-undangan, risalah hukum, putusan pengadilan, dokumen resmi negara dan surat perjanjian. Bahan hukum primer memiliki nilai otoritas, yaitu sebagai hasil dari tindakan yang dilakukan oleh lembaga yang berwenang. </w:t>
      </w:r>
      <w:r w:rsidRPr="0063725A">
        <w:rPr>
          <w:rFonts w:ascii="Book Antiqua" w:hAnsi="Book Antiqua" w:cs="Arial"/>
          <w:i/>
          <w:sz w:val="24"/>
          <w:szCs w:val="24"/>
        </w:rPr>
        <w:t>Kedua</w:t>
      </w:r>
      <w:r w:rsidRPr="0063725A">
        <w:rPr>
          <w:rFonts w:ascii="Book Antiqua" w:hAnsi="Book Antiqua" w:cs="Arial"/>
          <w:sz w:val="24"/>
          <w:szCs w:val="24"/>
        </w:rPr>
        <w:t xml:space="preserve">, bahan hukum sekunder yang merupakan bahan hukum yang memberikan penjelasan badan hukum primer, terdiri dari; buku, jurnal, hasil penelitian, kamus kukum dan ensiklopedia hukum, termasuk catatan hasil wawancara dengan ahli hukum. </w:t>
      </w:r>
      <w:r w:rsidRPr="0063725A">
        <w:rPr>
          <w:rFonts w:ascii="Book Antiqua" w:hAnsi="Book Antiqua" w:cs="Arial"/>
          <w:i/>
          <w:sz w:val="24"/>
          <w:szCs w:val="24"/>
        </w:rPr>
        <w:t>Ketiga</w:t>
      </w:r>
      <w:r w:rsidRPr="0063725A">
        <w:rPr>
          <w:rFonts w:ascii="Book Antiqua" w:hAnsi="Book Antiqua" w:cs="Arial"/>
          <w:sz w:val="24"/>
          <w:szCs w:val="24"/>
        </w:rPr>
        <w:t xml:space="preserve">, bahan hukum tersier atau non-hukum yangdapat mendudukung penjelasan bahan hukum primer dan sekunder yang tidak terkait secara langsung, seperti; buku tentang politik, ekonomi, pendidikan, agama dan lain-lain. Bahan hukum tersier dapat mendukung proses analisis hukum yang tidak menutup kemungkinan terdapat permasalahan hukum yang memerlukan penjelasan lain dari pengetahuan di luar ilmu hukum. Data sekunder hasil studi pustaka pada umumnya berada dalam keadaan siap untuk digunakan. Format dan isi data sekunder telah terbentuk serta diisi oleh pengkaji hukum terdahulu. Data sekunder </w:t>
      </w:r>
      <w:r w:rsidRPr="0063725A">
        <w:rPr>
          <w:rFonts w:ascii="Book Antiqua" w:hAnsi="Book Antiqua" w:cs="Arial"/>
          <w:sz w:val="24"/>
          <w:szCs w:val="24"/>
        </w:rPr>
        <w:lastRenderedPageBreak/>
        <w:t xml:space="preserve">dapat diperoleh tanpa ada keterikatan batasan oleh tempat dan waktu, karena sifatnya data yang berbentuk dokumen kepustakaan.   </w:t>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 xml:space="preserve">b. Metodepenalaran epistemologi ilmu hukum dengan sarana penalaran akal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6E51CB">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Dalam memahami epistemologi ilmu hukum yang dikembangkan dengan sarana penalaran akal yang memiliki objek hukum berupa peraturan perundang-undangan pada tahap awal dilakukan dengan proses studi kepustakaan. </w:t>
      </w:r>
      <w:r w:rsidRPr="0063725A">
        <w:rPr>
          <w:rFonts w:ascii="Book Antiqua" w:hAnsi="Book Antiqua" w:cs="Arial"/>
          <w:sz w:val="24"/>
          <w:szCs w:val="24"/>
        </w:rPr>
        <w:t xml:space="preserve">Data yang objek hukumnya berupa peraturan perundang-undangan dapat diperoleh melalui teknik membaca, melihat, mendengar maupun melakukan penelusuran di dunia maya melalui media internet. Data yang mungkin terkandung dalam hasil studi pustaka dapat dianggap sebagai data yang lengkap atau belum, karena harus dibuktikan lebih lanjut dengan menyesuaiakan data yang lainnya, akan tetapi data biasanya langsung dapat dipakai karena sifat data yang berupa dokumen tertulis. Autentisitas data sekunder dari hasil studi pustaka harus dikaji secara kritis dan teliti sebelum diaplikasikan pada kajian hukum yang lebih lanjut. Dalam hal teknik pengumpulan data sering ditemui tidak adanya penjelasan terkait dengan data kepustakaan tertentu, sehingga mengalami kesulitan untuk mengetahui metode yang digunakan dalam pengumpulan dan pengolahan data tersebut atau kesulitan untuk mengetahui secara pasti lokasi terhimpunnya data sekunder yang dimaksud. Berdasar pada teknik pengumpulan data, maka lokasi yang digunakan untuk menggali data dilakukan di berbagai perpustakaan, yang dapat memberikan berbagai referensi bahan hukum yang diperlukan serta melalui penelusuran data yang banyak dilakukan di dunia maya melalui situsinternet.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 xml:space="preserve">          Pengolahan terhadap data yang berupa sistem norma hukum positif dilakukan untuk melakukan sistematisasi terhadap bahan-bahan hukum. Teknik pengolahan data dilakukan dengan cara melakukan seleksi data kepustakaan, kemudian melakukan klasifikasi menurut penggolongan bahan hukum dan menyusun data secara sistematis secara logis. Penggunaan sistem yang tersusun secara logis ini menjadi prinsip yang paling utama dalam ilmu hukum yang berbasis ketat pada logika rasional yang biasa ditemui dalam metode penalaran positivisme hukum. Kegunaan penalaran akal secara rasional untuk melakukan analisis terhadap hubungan atau keterkaitan antara bahan hukum yang satu dengan bahan hukum yang lain untuk memperoleh pemahaman hukum secara umum. Teknik pengolahan data seperti ini dilakukan dengan prosedur yang jelas dan harus dapat diukur melalui standart yang tersusun dalam mekanisme formil, tujuannya agar apa yang dipahami benar oleh satu pihak juga dapat dipahami benar oleh pihak lain berdasarkan metode penalaran analisis logis.    </w:t>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Data sekunder kepustakaan yang telah dikumpulkan dan diolah, maka langkah selanjutnya dilakukan analisis data, yaitu melakukan telaah kajian terhadap hasil pengolahan data yang didukung dengan teori positivisme hukum. Analisis data merupakan kegiatan memberikan telaah kajian yang dapat bersifat mendukung, menentang atau memberi argumen untuk menambahi atau mengurangi penilaian justifikasi terhadap permasalahan hukum dan diakhiri dengan menarik sebuah kesimpulan dari hasil pemikiran. Proses analisis data yang memiliki objek sistem norma positif memiliki beberapa sifat: </w:t>
      </w:r>
      <w:r w:rsidRPr="0063725A">
        <w:rPr>
          <w:rFonts w:ascii="Book Antiqua" w:hAnsi="Book Antiqua" w:cs="Arial"/>
          <w:i/>
          <w:sz w:val="24"/>
          <w:szCs w:val="24"/>
        </w:rPr>
        <w:t>pertama</w:t>
      </w:r>
      <w:r w:rsidRPr="0063725A">
        <w:rPr>
          <w:rFonts w:ascii="Book Antiqua" w:hAnsi="Book Antiqua" w:cs="Arial"/>
          <w:sz w:val="24"/>
          <w:szCs w:val="24"/>
        </w:rPr>
        <w:t xml:space="preserve">, bersifat deskriptif untuk memberikan pemaparan atau gambaran secara sistematis dan </w:t>
      </w:r>
      <w:r w:rsidRPr="0063725A">
        <w:rPr>
          <w:rFonts w:ascii="Book Antiqua" w:hAnsi="Book Antiqua" w:cs="Arial"/>
          <w:sz w:val="24"/>
          <w:szCs w:val="24"/>
        </w:rPr>
        <w:lastRenderedPageBreak/>
        <w:t xml:space="preserve">netral atas objek hukum yang berupa sistem norma positif; </w:t>
      </w:r>
      <w:r w:rsidRPr="0063725A">
        <w:rPr>
          <w:rFonts w:ascii="Book Antiqua" w:hAnsi="Book Antiqua" w:cs="Arial"/>
          <w:i/>
          <w:sz w:val="24"/>
          <w:szCs w:val="24"/>
        </w:rPr>
        <w:t>kedua</w:t>
      </w:r>
      <w:r w:rsidRPr="0063725A">
        <w:rPr>
          <w:rFonts w:ascii="Book Antiqua" w:hAnsi="Book Antiqua" w:cs="Arial"/>
          <w:sz w:val="24"/>
          <w:szCs w:val="24"/>
        </w:rPr>
        <w:t xml:space="preserve">, bersifat evaluatif dengan memberikan justifikasi penilaian terhadap data hukum kepustakaan, apakah hipotesis daripositivisme hukum yang digunakan untuk menganalisis diterima atau ditolak; </w:t>
      </w:r>
      <w:r w:rsidRPr="0063725A">
        <w:rPr>
          <w:rFonts w:ascii="Book Antiqua" w:hAnsi="Book Antiqua" w:cs="Arial"/>
          <w:i/>
          <w:sz w:val="24"/>
          <w:szCs w:val="24"/>
        </w:rPr>
        <w:t>ketiga</w:t>
      </w:r>
      <w:r w:rsidRPr="0063725A">
        <w:rPr>
          <w:rFonts w:ascii="Book Antiqua" w:hAnsi="Book Antiqua" w:cs="Arial"/>
          <w:sz w:val="24"/>
          <w:szCs w:val="24"/>
        </w:rPr>
        <w:t>, bersifat preskriptif untuk memberikan argumentasi terhadap data hukum terkait benar atau salah terhadap suatu permasalahan hukum secara analisis logis menurut hukum.</w:t>
      </w:r>
      <w:r w:rsidRPr="0063725A">
        <w:rPr>
          <w:rStyle w:val="FootnoteReference"/>
          <w:rFonts w:ascii="Book Antiqua" w:hAnsi="Book Antiqua" w:cs="Arial"/>
          <w:sz w:val="24"/>
          <w:szCs w:val="24"/>
        </w:rPr>
        <w:footnoteReference w:id="153"/>
      </w:r>
    </w:p>
    <w:p w:rsidR="006E1248" w:rsidRDefault="006E51CB"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Dalam memahami epistemologi ilmu hukum yang dikembangkan dengan sarana penalaran akal tidak lepas dari prinsip-prinsip paham rasionalisme dan positivisme hukum. Metode penalaran yang digunakan untuk memahami hukum didasarkan pada cara kerja logika akal secara rasional. Hukum hanya akan dipahami sebagai hukum yang benar jika dapat diterima secara logika rasional. Menurut Austin, untuk mengidentifikasi apakah sebuah norma itu hukum atau bukan dapat dilihat dari kepastian esensi atau hakikat hukumnya. Austin berusaha menetapkan esensi dari suatu hukum seperti dengan mendefinisikan hukum sebagai hukum positif jika di dalamnya mengandung unsur-unsur yang bersifat perintah, kewajiban dan sanksi.</w:t>
      </w:r>
      <w:r w:rsidR="00CD411E" w:rsidRPr="0063725A">
        <w:rPr>
          <w:rStyle w:val="FootnoteReference"/>
          <w:rFonts w:ascii="Book Antiqua" w:eastAsia="Times New Roman" w:hAnsi="Book Antiqua" w:cs="Arial"/>
          <w:sz w:val="24"/>
          <w:szCs w:val="24"/>
        </w:rPr>
        <w:footnoteReference w:id="154"/>
      </w:r>
      <w:r w:rsidR="00CD411E" w:rsidRPr="0063725A">
        <w:rPr>
          <w:rFonts w:ascii="Book Antiqua" w:eastAsia="Times New Roman" w:hAnsi="Book Antiqua" w:cs="Arial"/>
          <w:sz w:val="24"/>
          <w:szCs w:val="24"/>
        </w:rPr>
        <w:t xml:space="preserve">Unsur-unsur yang membentuk hukum tersebut secara nyata dapat dilihat dan dipahami kebenarannya dalam peraturan perundang-undangan. Dengan terpenuhinya unsur-unsur hukum tersebut, berarti hukum telah sesuai dengan konsep tentang ide-ide hukum dari pembentuknya, sehingga hukum tidak lagi didasarkan pada nilai baik atau buruk. Logika akal dalam hukum hanya akan mengejar kepastian hukum daripada kemanfaatan dan keadilan hukum, untuk </w:t>
      </w:r>
      <w:r w:rsidR="00CD411E" w:rsidRPr="0063725A">
        <w:rPr>
          <w:rFonts w:ascii="Book Antiqua" w:eastAsia="Times New Roman" w:hAnsi="Book Antiqua" w:cs="Arial"/>
          <w:sz w:val="24"/>
          <w:szCs w:val="24"/>
        </w:rPr>
        <w:lastRenderedPageBreak/>
        <w:t>mengontrol kebenaran hukum yang diletakkan di atas peraturan perundang-undangan, seperti dekemukakan oleh Austin dengan menerapkan sanksi.</w:t>
      </w:r>
      <w:r w:rsidR="00CD411E" w:rsidRPr="0063725A">
        <w:rPr>
          <w:rStyle w:val="FootnoteReference"/>
          <w:rFonts w:ascii="Book Antiqua" w:eastAsia="Times New Roman" w:hAnsi="Book Antiqua" w:cs="Arial"/>
          <w:sz w:val="24"/>
          <w:szCs w:val="24"/>
        </w:rPr>
        <w:footnoteReference w:id="155"/>
      </w:r>
      <w:r w:rsidR="00CD411E" w:rsidRPr="0063725A">
        <w:rPr>
          <w:rFonts w:ascii="Book Antiqua" w:eastAsia="Times New Roman" w:hAnsi="Book Antiqua" w:cs="Arial"/>
          <w:sz w:val="24"/>
          <w:szCs w:val="24"/>
        </w:rPr>
        <w:t xml:space="preserve"> Penerapan sanksi dalam positivisme hukum akan mampu menggugah cara berpikir manusia untuk selalu bersikap kritis dan berhati-hati dalam segala tindak dan perbuatan.</w:t>
      </w:r>
    </w:p>
    <w:p w:rsidR="00CD411E" w:rsidRPr="0063725A" w:rsidRDefault="006E1248"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ab/>
        <w:t xml:space="preserve">          </w:t>
      </w:r>
      <w:r w:rsidR="00CD411E" w:rsidRPr="0063725A">
        <w:rPr>
          <w:rFonts w:ascii="Book Antiqua" w:eastAsia="Times New Roman" w:hAnsi="Book Antiqua" w:cs="Arial"/>
          <w:sz w:val="24"/>
          <w:szCs w:val="24"/>
        </w:rPr>
        <w:t xml:space="preserve">Penalaran hukum yang dikembangkan melalui rasional akal dalam positivisme hukum, seperti dikemukakan oleh Friedman yang diambil dari pandangan Hart. </w:t>
      </w:r>
      <w:r w:rsidR="00CD411E" w:rsidRPr="0063725A">
        <w:rPr>
          <w:rFonts w:ascii="Book Antiqua" w:eastAsia="Times New Roman" w:hAnsi="Book Antiqua" w:cs="Arial"/>
          <w:i/>
          <w:sz w:val="24"/>
          <w:szCs w:val="24"/>
        </w:rPr>
        <w:t>Pertama</w:t>
      </w:r>
      <w:r w:rsidR="00CD411E" w:rsidRPr="0063725A">
        <w:rPr>
          <w:rFonts w:ascii="Book Antiqua" w:eastAsia="Times New Roman" w:hAnsi="Book Antiqua" w:cs="Arial"/>
          <w:sz w:val="24"/>
          <w:szCs w:val="24"/>
        </w:rPr>
        <w:t xml:space="preserve">, peraturan perundang-undangan yang dibentuk merupakan hukum yang berisi tentang perintah untuk manusia mentaatinya. </w:t>
      </w:r>
      <w:r w:rsidR="00CD411E" w:rsidRPr="0063725A">
        <w:rPr>
          <w:rFonts w:ascii="Book Antiqua" w:eastAsia="Times New Roman" w:hAnsi="Book Antiqua" w:cs="Arial"/>
          <w:i/>
          <w:sz w:val="24"/>
          <w:szCs w:val="24"/>
        </w:rPr>
        <w:t>Kedua</w:t>
      </w:r>
      <w:r w:rsidR="00CD411E" w:rsidRPr="0063725A">
        <w:rPr>
          <w:rFonts w:ascii="Book Antiqua" w:eastAsia="Times New Roman" w:hAnsi="Book Antiqua" w:cs="Arial"/>
          <w:sz w:val="24"/>
          <w:szCs w:val="24"/>
        </w:rPr>
        <w:t xml:space="preserve">, tidak perlu adanya hubungan hukum dengan hal-hal irasional di luar hukum, karena masing-masing memiliki wilayah sendiri. Tidak ada hubungan antara hukum yang ada (hukum positif yang sedang berlaku) dengan hukum yang seharusnya (hukum yang dicita-citakan). </w:t>
      </w:r>
      <w:r w:rsidR="00CD411E" w:rsidRPr="0063725A">
        <w:rPr>
          <w:rFonts w:ascii="Book Antiqua" w:eastAsia="Times New Roman" w:hAnsi="Book Antiqua" w:cs="Arial"/>
          <w:i/>
          <w:sz w:val="24"/>
          <w:szCs w:val="24"/>
        </w:rPr>
        <w:t>Ketiga</w:t>
      </w:r>
      <w:r w:rsidR="00CD411E" w:rsidRPr="0063725A">
        <w:rPr>
          <w:rFonts w:ascii="Book Antiqua" w:eastAsia="Times New Roman" w:hAnsi="Book Antiqua" w:cs="Arial"/>
          <w:sz w:val="24"/>
          <w:szCs w:val="24"/>
        </w:rPr>
        <w:t xml:space="preserve">, analisis studi tentang konsep hukum harus dibedakan dengan studi historis mengenai sebab asal-usul peraturan perundang-undangan seperti dalam studi mahzab sejarah hukum mengenai hubungan hukum dengan tradisi kebiasaan masyarakat. </w:t>
      </w:r>
      <w:r w:rsidR="00CD411E" w:rsidRPr="0063725A">
        <w:rPr>
          <w:rFonts w:ascii="Book Antiqua" w:eastAsia="Times New Roman" w:hAnsi="Book Antiqua" w:cs="Arial"/>
          <w:i/>
          <w:sz w:val="24"/>
          <w:szCs w:val="24"/>
        </w:rPr>
        <w:t>Keempat</w:t>
      </w:r>
      <w:r w:rsidR="00CD411E" w:rsidRPr="0063725A">
        <w:rPr>
          <w:rFonts w:ascii="Book Antiqua" w:eastAsia="Times New Roman" w:hAnsi="Book Antiqua" w:cs="Arial"/>
          <w:sz w:val="24"/>
          <w:szCs w:val="24"/>
        </w:rPr>
        <w:t xml:space="preserve">, sistem hukum positif merupakan sistem logis hukum yang bersifat tertutup, maksudnya putusan hukum yang benar dapat dihasilkan melalui cara-cara yang logis secara rasional dalam peraturan perundang-undangan yang telah ditentukan lebih dulu tanpa ada keterkaitan dengan perilaku sosial masyarakat dan rasa keadilan. </w:t>
      </w:r>
      <w:r w:rsidR="00CD411E" w:rsidRPr="0063725A">
        <w:rPr>
          <w:rFonts w:ascii="Book Antiqua" w:eastAsia="Times New Roman" w:hAnsi="Book Antiqua" w:cs="Arial"/>
          <w:i/>
          <w:sz w:val="24"/>
          <w:szCs w:val="24"/>
        </w:rPr>
        <w:t>Kelima</w:t>
      </w:r>
      <w:r w:rsidR="00CD411E" w:rsidRPr="0063725A">
        <w:rPr>
          <w:rFonts w:ascii="Book Antiqua" w:eastAsia="Times New Roman" w:hAnsi="Book Antiqua" w:cs="Arial"/>
          <w:sz w:val="24"/>
          <w:szCs w:val="24"/>
        </w:rPr>
        <w:t xml:space="preserve">, dengan alasan logika rasional yang didukung oleh petunjuk dan bukti, maka rasa keadilan </w:t>
      </w:r>
      <w:r w:rsidR="00CD411E" w:rsidRPr="0063725A">
        <w:rPr>
          <w:rFonts w:ascii="Book Antiqua" w:eastAsia="Times New Roman" w:hAnsi="Book Antiqua" w:cs="Arial"/>
          <w:sz w:val="24"/>
          <w:szCs w:val="24"/>
        </w:rPr>
        <w:lastRenderedPageBreak/>
        <w:t>yang bersifat irasional dan pernyataan-pernyataan tentang fakta empiris tidak dapat diberikan untuk membentuk pemahaman hukum.</w:t>
      </w:r>
      <w:r w:rsidR="00CD411E" w:rsidRPr="0063725A">
        <w:rPr>
          <w:rStyle w:val="FootnoteReference"/>
          <w:rFonts w:ascii="Book Antiqua" w:eastAsia="Times New Roman" w:hAnsi="Book Antiqua" w:cs="Arial"/>
          <w:sz w:val="24"/>
          <w:szCs w:val="24"/>
        </w:rPr>
        <w:footnoteReference w:id="156"/>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Pemahaman tentang pemurnian hukum dari anasir-anasir yang bersifat non-hukum seperti dikemukakan oleh Hans Kelsen secara epistemologi merupakan dasar utama dan mutlak untuk memahami hukum yang sebenarnya. Hukum dianggap benar jika hukum tidak dipengaruhi oleh faktor yang berada diluar jangkauan akal rasional. Hal ini yang membuat Kelsen disebut sebagai peletak dasar dari teori dan ilmu Hukum menjadi suatu disiplin yang mandiri (</w:t>
      </w:r>
      <w:r w:rsidRPr="0063725A">
        <w:rPr>
          <w:rFonts w:ascii="Book Antiqua" w:eastAsia="Times New Roman" w:hAnsi="Book Antiqua" w:cs="Arial"/>
          <w:i/>
          <w:sz w:val="24"/>
          <w:szCs w:val="24"/>
        </w:rPr>
        <w:t>autonomus discipline</w:t>
      </w:r>
      <w:r w:rsidRPr="0063725A">
        <w:rPr>
          <w:rFonts w:ascii="Book Antiqua" w:eastAsia="Times New Roman" w:hAnsi="Book Antiqua" w:cs="Arial"/>
          <w:sz w:val="24"/>
          <w:szCs w:val="24"/>
        </w:rPr>
        <w:t>). Penggunaan logika akal dalam pemurnian hukum untuk memahami hukum yang benar seperti dikemukakan Kelsendalam hukum positif.Hukum yang murni menurut Kelsen hanya akan diperoleh melalui penalaran logis secara rasional yang terpisah dari hal-hal yang bersifat irasional, karena tujuan utama hukum untuk mencapai kepastian hukum.</w:t>
      </w:r>
      <w:r w:rsidRPr="0063725A">
        <w:rPr>
          <w:rStyle w:val="FootnoteReference"/>
          <w:rFonts w:ascii="Book Antiqua" w:eastAsia="Times New Roman" w:hAnsi="Book Antiqua" w:cs="Arial"/>
          <w:sz w:val="24"/>
          <w:szCs w:val="24"/>
        </w:rPr>
        <w:footnoteReference w:id="157"/>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Teori hukum murni merupakan bagian dari strategi positivisme hukum agar norma hukum tidak disandarkan kepada hal-hal yang bersifat irasional atau metayuridis, tetapi disandarkan kepada hukum dasar konstitusi yang dapat dipahami secara rasional dan telah cukup mengandung semua unsur yang diperlukan oleh hukum positif.</w:t>
      </w:r>
      <w:r w:rsidRPr="0063725A">
        <w:rPr>
          <w:rStyle w:val="FootnoteReference"/>
          <w:rFonts w:ascii="Book Antiqua" w:eastAsia="Times New Roman" w:hAnsi="Book Antiqua" w:cs="Arial"/>
          <w:sz w:val="24"/>
          <w:szCs w:val="24"/>
        </w:rPr>
        <w:footnoteReference w:id="158"/>
      </w:r>
      <w:r w:rsidRPr="0063725A">
        <w:rPr>
          <w:rFonts w:ascii="Book Antiqua" w:eastAsia="Times New Roman" w:hAnsi="Book Antiqua" w:cs="Arial"/>
          <w:sz w:val="24"/>
          <w:szCs w:val="24"/>
        </w:rPr>
        <w:t xml:space="preserve">Menurut Kelsen, dasar dari segala hukum adalah undang-undang dasar negara yang dibentuk oleh negara sebagai penguasa. Negara dapat memberi perintah dan rakyat yang harus menaati perintah, sebagai rakyat yang diperintah harus memiliki kemauan untuk menerimanya menjadi suatu kewajiban yuridis yang harus ditaati. Kewajiban yuridis tersebut sebagai suatu </w:t>
      </w:r>
      <w:r w:rsidRPr="0063725A">
        <w:rPr>
          <w:rFonts w:ascii="Book Antiqua" w:eastAsia="Times New Roman" w:hAnsi="Book Antiqua" w:cs="Arial"/>
          <w:sz w:val="24"/>
          <w:szCs w:val="24"/>
        </w:rPr>
        <w:lastRenderedPageBreak/>
        <w:t>peraturan yang bersifat normatif danmasuk akal. Kewajiban hukum harus bersifat logis, yaitu mewajibkan harus diterima sebagai syarat yang tidak dapat dielakkan untuk memahami hukum. Menurut Kelsen dalam hukum juga terdapat suatu norma dasar (</w:t>
      </w:r>
      <w:r w:rsidRPr="0063725A">
        <w:rPr>
          <w:rFonts w:ascii="Book Antiqua" w:eastAsia="Times New Roman" w:hAnsi="Book Antiqua" w:cs="Arial"/>
          <w:i/>
          <w:sz w:val="24"/>
          <w:szCs w:val="24"/>
        </w:rPr>
        <w:t>grundnorm</w:t>
      </w:r>
      <w:r w:rsidRPr="0063725A">
        <w:rPr>
          <w:rFonts w:ascii="Book Antiqua" w:eastAsia="Times New Roman" w:hAnsi="Book Antiqua" w:cs="Arial"/>
          <w:sz w:val="24"/>
          <w:szCs w:val="24"/>
        </w:rPr>
        <w:t>) yang tersembunyi dan harus dianggap sebagai sumber keharusan pokok dibidang hukum. Rakyat harus menyesuaikan dirinya dengan apa yang telah ditentukan. Teori umum tentang hukum sebagai konsep hukum sangat terkait dengan suatu hubungan antara negara dengan hukum. Hukum yang dibentuk oleh negara bersifat umum yang dapat dipahami secara rasional dan berlaku bagi seluruh rakyat.</w:t>
      </w:r>
      <w:r w:rsidRPr="0063725A">
        <w:rPr>
          <w:rStyle w:val="FootnoteReference"/>
          <w:rFonts w:ascii="Book Antiqua" w:eastAsia="Times New Roman" w:hAnsi="Book Antiqua" w:cs="Arial"/>
          <w:sz w:val="24"/>
          <w:szCs w:val="24"/>
        </w:rPr>
        <w:footnoteReference w:id="159"/>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Keadilan sebagai tolok ukur adanya sebuah kebenaran hukum oleh Hans Kelsen telah direduksi hingga menjadi dua pola dasar, yaitu bersifat rasional dan irasional (metafisik). Cara pandang terhadap pola dasar yang bersifat rasional berusaha menjawab pertanyaan tentang keadilan dengan cara mendefinisikannya kedalam suatu pola yang lebih bersifat ilmiah atau </w:t>
      </w:r>
      <w:r w:rsidRPr="0063725A">
        <w:rPr>
          <w:rFonts w:ascii="Book Antiqua" w:eastAsia="Times New Roman" w:hAnsi="Book Antiqua" w:cs="Arial"/>
          <w:i/>
          <w:sz w:val="24"/>
          <w:szCs w:val="24"/>
        </w:rPr>
        <w:t>quasi</w:t>
      </w:r>
      <w:r w:rsidRPr="0063725A">
        <w:rPr>
          <w:rFonts w:ascii="Book Antiqua" w:eastAsia="Times New Roman" w:hAnsi="Book Antiqua" w:cs="Arial"/>
          <w:sz w:val="24"/>
          <w:szCs w:val="24"/>
        </w:rPr>
        <w:t xml:space="preserve"> ilmiah. Hal ini dilakukan dalam upaya untuk memecahkan persoalan keadilan pada ranah rasional berbasis ketat pada akal, seperti pola pemikiran yang dipelopori oleh kaum rasionalisme. Sedangkan cara pandang dengan pola dasar yang bersifat irasional (metafisik) merupakan realisasi dari sesuatu yang diarahkan ke dalam dunia lain yang berada dibalik jangkauan pengalaman empiris dan akal manusia, seperti pola penalaran yang dipelopori oleh penganut yang mendasarkan pada intuisi hati nurani. Atas pemahaman keadilan hukum yang bersifat irasional (metafisik) seperti dalam pandangan John Dewey, bahwa suatu keadilan tidak dapat didefinisikan secara jelas </w:t>
      </w:r>
      <w:r w:rsidRPr="0063725A">
        <w:rPr>
          <w:rFonts w:ascii="Book Antiqua" w:eastAsia="Times New Roman" w:hAnsi="Book Antiqua" w:cs="Arial"/>
          <w:sz w:val="24"/>
          <w:szCs w:val="24"/>
        </w:rPr>
        <w:lastRenderedPageBreak/>
        <w:t>dan pasti, karena itu merupakan cara penalaran yang tidak hanya cukup dipahami akal secara rasional.</w:t>
      </w:r>
      <w:r w:rsidRPr="0063725A">
        <w:rPr>
          <w:rStyle w:val="FootnoteReference"/>
          <w:rFonts w:ascii="Book Antiqua" w:eastAsia="Times New Roman" w:hAnsi="Book Antiqua" w:cs="Arial"/>
          <w:sz w:val="24"/>
          <w:szCs w:val="24"/>
        </w:rPr>
        <w:footnoteReference w:id="160"/>
      </w:r>
    </w:p>
    <w:p w:rsidR="00CD411E" w:rsidRPr="0063725A" w:rsidRDefault="006E1248" w:rsidP="0063725A">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CD411E" w:rsidRPr="0063725A">
        <w:rPr>
          <w:rFonts w:ascii="Book Antiqua" w:eastAsia="Times New Roman" w:hAnsi="Book Antiqua" w:cs="Arial"/>
          <w:sz w:val="24"/>
          <w:szCs w:val="24"/>
        </w:rPr>
        <w:t>Peran akal secara rasional dalam pemahaman Kelsen sangat dominan untuk menentukan kebenaran hukum dalam arti peraturan perundang-undangan, hampir seluruh pembicaraan tentang hukum diarahkan untuk memenuhi syarat logis yang tersusun dalam aturan formal, karena suatu kaedah dapat bersifat wajib karena segi formalnya. Norma yang terdapat dalam kebiasaan, tradisi atau adat istiadat menurut Kelsen belum dapat dikatakan menjadi hukum apabila belum ditetapkan secara formal. Hal-hal irasional dan perasaan keadilan harus dihindari dalam melakukan penafsiran hukum positif, karena itu merupakan nilai-nilai dalam kehidupan manusia yang biasanya ditunjukkan dengan istilah demi rasa keadilan, kepentingan masyarakat, negara dan kemajuan bersama. Dalam hal ini pernyataan tersebut tidak dapat dikatakan sebagai hukum yang sah, karena itu semua merupakan norma-norma yang bukan bersumber dari hukum positif.Pembakuan metode penafsiran hukum yang ketat sebagaimana dilakukan oleh Kelsen tersebut dilakukan agar penafsiran hukum mencapai tingkat kepastian tinggi dan terhindar dari makna yang tidak jelas atau ambigu. Penggunaan metode penalaran hukum tersebut dapat mereduksi penafsiran yang berbeda dan tidak dikehendaki, sehingga tujuan untuk memperoleh kepastian hukum dapat tercapai.</w:t>
      </w:r>
      <w:r w:rsidR="00CD411E" w:rsidRPr="0063725A">
        <w:rPr>
          <w:rStyle w:val="FootnoteReference"/>
          <w:rFonts w:ascii="Book Antiqua" w:eastAsia="Times New Roman" w:hAnsi="Book Antiqua" w:cs="Arial"/>
          <w:sz w:val="24"/>
          <w:szCs w:val="24"/>
        </w:rPr>
        <w:footnoteReference w:id="161"/>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Positivisme hukum yang ditopang kuat oleh epistemologi yang dikembangkan dengan sarana penalaran akal rasional tampil dengan karakter yang sangat jelas dan tegas telah memanifestasikan dirinya ke dalam </w:t>
      </w:r>
      <w:r w:rsidRPr="0063725A">
        <w:rPr>
          <w:rFonts w:ascii="Book Antiqua" w:eastAsia="Times New Roman" w:hAnsi="Book Antiqua" w:cs="Arial"/>
          <w:i/>
          <w:sz w:val="24"/>
          <w:szCs w:val="24"/>
        </w:rPr>
        <w:t>yurisprudensi analitik</w:t>
      </w:r>
      <w:r w:rsidRPr="0063725A">
        <w:rPr>
          <w:rFonts w:ascii="Book Antiqua" w:eastAsia="Times New Roman" w:hAnsi="Book Antiqua" w:cs="Arial"/>
          <w:sz w:val="24"/>
          <w:szCs w:val="24"/>
        </w:rPr>
        <w:t xml:space="preserve">, yang mana </w:t>
      </w:r>
      <w:r w:rsidRPr="0063725A">
        <w:rPr>
          <w:rFonts w:ascii="Book Antiqua" w:eastAsia="Times New Roman" w:hAnsi="Book Antiqua" w:cs="Arial"/>
          <w:sz w:val="24"/>
          <w:szCs w:val="24"/>
        </w:rPr>
        <w:lastRenderedPageBreak/>
        <w:t>dalam perkembangannya lebih lanjut disebut positivisme analitik. Pandangan positivisme analitik bertitik tolak dari suatu tatanan hukum tertentu, dimana dari situ dapat diperoleh konsep, pengertian dan perbedaan fundamental dari hukum dengan menggunakan metode yang pada tahap awal dapat disebut sebagai induktif. Pada tahap berikutnya yang merupakan tahap paling penting dari cara kerja positivisme hukum adalah membandingkannya dengan perbedaan, konsep dan pemikiran fundamental tertentu dari suatu tatanan hukum lain yang telah diyakini kebenarannya untuk memastikan banyaknya jumlah unsur yang sama. Positivisme analitik hukum dengan cara ini berarti telah melengkapi ilmu pengetahuan hukumnya dengan suatu anatomi sistem hukum yang lebih dari sekedar bersifat induktif, tetapi telah bersifat deduktif. Sifat pemahaman metode penalaran deduktif dari positivisme hukum pada dasarnya mengandung prinsip utama yang memisahkan hukum yang ada (</w:t>
      </w:r>
      <w:r w:rsidRPr="0063725A">
        <w:rPr>
          <w:rFonts w:ascii="Book Antiqua" w:eastAsia="Times New Roman" w:hAnsi="Book Antiqua" w:cs="Arial"/>
          <w:i/>
          <w:sz w:val="24"/>
          <w:szCs w:val="24"/>
        </w:rPr>
        <w:t>das sein</w:t>
      </w:r>
      <w:r w:rsidRPr="0063725A">
        <w:rPr>
          <w:rFonts w:ascii="Book Antiqua" w:eastAsia="Times New Roman" w:hAnsi="Book Antiqua" w:cs="Arial"/>
          <w:sz w:val="24"/>
          <w:szCs w:val="24"/>
        </w:rPr>
        <w:t>) dengan hukum yang seharusnya (</w:t>
      </w:r>
      <w:r w:rsidRPr="0063725A">
        <w:rPr>
          <w:rFonts w:ascii="Book Antiqua" w:eastAsia="Times New Roman" w:hAnsi="Book Antiqua" w:cs="Arial"/>
          <w:i/>
          <w:sz w:val="24"/>
          <w:szCs w:val="24"/>
        </w:rPr>
        <w:t>das sollen</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62"/>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akal seperti dalam teori positivisme hukum memperoleh pengetahuan yang benar melalui metode penalaran deduktif. Menurut Melvin Marx, metode penalaran deduktif adalah bentuk inferensi yang menurunkan sebuah kesimpulan yang didapatkan melalui penggunaan logika pikiran dengan disertai premis-premis yang berfungsi sebagai bukti. Metode penalaran deduktif merupakan suatu teori yang menekankan pada struktur konseptual dan validitas substansialnya, selain itu dalam metode deduktif ini juga berfokus pada pembangunan konsep sebelum pengujian empiris dilakukan. Metode penalaran deduktif sebagai cara berpikir dimana dari </w:t>
      </w:r>
      <w:r w:rsidRPr="0063725A">
        <w:rPr>
          <w:rFonts w:ascii="Book Antiqua" w:hAnsi="Book Antiqua" w:cs="Arial"/>
          <w:sz w:val="24"/>
          <w:szCs w:val="24"/>
        </w:rPr>
        <w:lastRenderedPageBreak/>
        <w:t>pernyataan yang bersifat umum ditarik ke dalam suatu kesimpulan yang bersifat khusus individual. Penarikan kesimpulan secara deduktif ini dilakukan dengan menggunakan pola pikir silogisme yang disusun dari dua pernyataan dan satu kesimpulan. Pernyataan yang mendukung silogisme disebut premis, yang dapat dibedakan menjadi dua; premis mayor bersifat umum dan premis minor bersifat khusus. Kesimpulan merupakan pengetahuan yang didapat dari penalaran deduktif berdasarkan kedua premis tersebut.</w:t>
      </w:r>
      <w:r w:rsidRPr="0063725A">
        <w:rPr>
          <w:rStyle w:val="FootnoteReference"/>
          <w:rFonts w:ascii="Book Antiqua" w:hAnsi="Book Antiqua" w:cs="Arial"/>
          <w:sz w:val="24"/>
          <w:szCs w:val="24"/>
        </w:rPr>
        <w:footnoteReference w:id="163"/>
      </w:r>
      <w:r w:rsidRPr="0063725A">
        <w:rPr>
          <w:rFonts w:ascii="Book Antiqua" w:hAnsi="Book Antiqua" w:cs="Arial"/>
          <w:sz w:val="24"/>
          <w:szCs w:val="24"/>
        </w:rPr>
        <w:t xml:space="preserve"> Metode deduktif ini seperti prinsip silogisme yang dikemukakan al-Jabiri yang dikutib dari al-Farabi, yaitu suatu bentuk argumen dimana dua proposisi (premis) dirujukkan bersama sedemikian rupa sehingga sebuah keputusan (konklusi) pasti menyertai.</w:t>
      </w:r>
      <w:r w:rsidRPr="0063725A">
        <w:rPr>
          <w:rStyle w:val="FootnoteReference"/>
          <w:rFonts w:ascii="Book Antiqua" w:hAnsi="Book Antiqua" w:cs="Arial"/>
          <w:sz w:val="24"/>
          <w:szCs w:val="24"/>
        </w:rPr>
        <w:footnoteReference w:id="164"/>
      </w:r>
    </w:p>
    <w:p w:rsidR="00CD411E" w:rsidRPr="0063725A" w:rsidRDefault="00CD411E" w:rsidP="0063725A">
      <w:pPr>
        <w:tabs>
          <w:tab w:val="right" w:leader="dot" w:pos="7938"/>
        </w:tabs>
        <w:spacing w:after="0" w:line="360" w:lineRule="auto"/>
        <w:jc w:val="both"/>
        <w:rPr>
          <w:rFonts w:ascii="Book Antiqua" w:hAnsi="Book Antiqua" w:cs="Arial"/>
          <w:sz w:val="24"/>
          <w:szCs w:val="24"/>
        </w:rPr>
      </w:pPr>
      <w:r w:rsidRPr="0063725A">
        <w:rPr>
          <w:rFonts w:ascii="Book Antiqua" w:hAnsi="Book Antiqua" w:cs="Arial"/>
          <w:sz w:val="24"/>
          <w:szCs w:val="24"/>
        </w:rPr>
        <w:t>Contoh penggunaan metode penalaran deduktif;</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Semua orang yang mencuri dihukum penjara (premis mayor)</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Si “X” telah mencuri (premis minor)</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Si “X” dihukum penjara (kesimpulan)</w:t>
      </w:r>
    </w:p>
    <w:p w:rsidR="00CD411E" w:rsidRPr="0063725A" w:rsidRDefault="00CD411E" w:rsidP="0063725A">
      <w:pPr>
        <w:tabs>
          <w:tab w:val="right" w:leader="dot" w:pos="7938"/>
        </w:tabs>
        <w:spacing w:after="0" w:line="240" w:lineRule="auto"/>
        <w:jc w:val="both"/>
        <w:rPr>
          <w:rFonts w:ascii="Book Antiqua" w:hAnsi="Book Antiqua" w:cs="Arial"/>
          <w:sz w:val="24"/>
          <w:szCs w:val="24"/>
        </w:rPr>
      </w:pP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Kesimpulan yang diambil tersebut merupakan bentuk pengetahuan yang benar menurut epistemologi ilmu hukum yang dikembangkan dengan sarana penalaran akal melalui metode deduktif karena telah sesuai dengan dua pernyataan premis mayor dan premis minor. Sebuah kesimpulan dikatakan benar dapat dilihat dan dikembalikan pada kebenaran premis yang mendukungnya, jika kedua premis yang mendukungnya adalah benar maka dapat dipastikan bahwa kesimpulan yang dihasilkan adalah benar. Akan tetapi dalam keadaan tertentu mungkin saja </w:t>
      </w:r>
      <w:r w:rsidRPr="0063725A">
        <w:rPr>
          <w:rFonts w:ascii="Book Antiqua" w:hAnsi="Book Antiqua" w:cs="Arial"/>
          <w:sz w:val="24"/>
          <w:szCs w:val="24"/>
        </w:rPr>
        <w:lastRenderedPageBreak/>
        <w:t xml:space="preserve">kesimpulan yang dihasilkan salah meskipun kedua premisnya benar, berarti cara penarikan kesimpulan yang tidak sah. Oleh karena itu, kebenaran kesimpulan sangat dipengaruhi oleh kebenaran premis mayor, premis minor dan keabsahan cara pengambilan kesimpulan. Dalam penalaran deduktif kesimpulan yang berupa pengetahuan baru pada hakekatnya bukan merupakan pengetahuan baru dalam arti yang sebenarnya, melainkan sekedar konsekuensi dari dua pengetahuan yang sudah diketahui kebenarannya. Seperti dikemukakan oleh Ludwing von Wiittgenstein, bahwa tidak pernah ada pengetahuan baru dalam penalaran logika deduktif, karena pengetahuan yang diperoleh pada dasarnya merupakan kebenaran yang bersifat </w:t>
      </w:r>
      <w:r w:rsidRPr="0063725A">
        <w:rPr>
          <w:rFonts w:ascii="Book Antiqua" w:hAnsi="Book Antiqua" w:cs="Arial"/>
          <w:i/>
          <w:sz w:val="24"/>
          <w:szCs w:val="24"/>
        </w:rPr>
        <w:t>tautologis</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65"/>
      </w:r>
    </w:p>
    <w:p w:rsidR="00CD411E" w:rsidRPr="0063725A" w:rsidRDefault="00CD411E" w:rsidP="0063725A">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Validitas dan keabsahan kebenaran yang dihasilkan dari metode penalaran deduktif dapat diukur menggunakan metode koherensi atau konsistensi, yaitu dengan memahami suatu pernyataan yang dianggap benar jika pernyataan tersebut bersifat koheren atau memiliki sifat konsisten dengan pernyataan-pernyataan sebelumnya yang telah dianggap benar. Sifat konsistensi menjadi cara yang penting untuk menentukan kebenaran dalam epistemologi ilmu hukum yang dikembangkan dengan sarana penalaran akal. Dalam sistem ilmu pengetahuan yang sifatnya mengandung unsur kepastian disusun atas beberapa dasar pernyataan yang telah dianggap benar (</w:t>
      </w:r>
      <w:r w:rsidRPr="0063725A">
        <w:rPr>
          <w:rFonts w:ascii="Book Antiqua" w:hAnsi="Book Antiqua" w:cs="Arial"/>
          <w:i/>
          <w:sz w:val="24"/>
          <w:szCs w:val="24"/>
        </w:rPr>
        <w:t>aksioma</w:t>
      </w:r>
      <w:r w:rsidRPr="0063725A">
        <w:rPr>
          <w:rFonts w:ascii="Book Antiqua" w:hAnsi="Book Antiqua" w:cs="Arial"/>
          <w:sz w:val="24"/>
          <w:szCs w:val="24"/>
        </w:rPr>
        <w:t xml:space="preserve">), dengan menggunakan beberapa </w:t>
      </w:r>
      <w:r w:rsidRPr="0063725A">
        <w:rPr>
          <w:rFonts w:ascii="Book Antiqua" w:hAnsi="Book Antiqua" w:cs="Arial"/>
          <w:i/>
          <w:sz w:val="24"/>
          <w:szCs w:val="24"/>
        </w:rPr>
        <w:t>aksioma</w:t>
      </w:r>
      <w:r w:rsidRPr="0063725A">
        <w:rPr>
          <w:rFonts w:ascii="Book Antiqua" w:hAnsi="Book Antiqua" w:cs="Arial"/>
          <w:sz w:val="24"/>
          <w:szCs w:val="24"/>
        </w:rPr>
        <w:t xml:space="preserve">tersebut, maka disusun suatu teorema. Di atas teorema maka dikembangkan kaidah-kaidah ilmu yang secara keseluruhan merupakan sebuah sistem yang bersifat sifat pasti dan konsisten. Sesuatu pernyataan dapat dikatakan benar apabila bersifat konsisten dengan pernyataan yang lain yang telah diterima kebenarannya. Suatu kebenaran </w:t>
      </w:r>
      <w:r w:rsidRPr="0063725A">
        <w:rPr>
          <w:rFonts w:ascii="Book Antiqua" w:hAnsi="Book Antiqua" w:cs="Arial"/>
          <w:sz w:val="24"/>
          <w:szCs w:val="24"/>
        </w:rPr>
        <w:lastRenderedPageBreak/>
        <w:t>merupakan sifat dasar yang dimiliki ide, karena apapun yang diketahui selalu berupa ide yang bersifat rasional. Konsep tentang logika akal telah menemukan ketertiban, tatanan serta sistem dalam kenyataan hidup. Hal inilah yang merupakan pemahaman dari aliran positivisme.</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Dasar hukum yang menjadi landasan validitas epistemologi ilmu hukum yang dikembangkan dengan sarana penalaran akal dalam positivisme hukum seperti dikemukakan oleh Hans Kelsen adalah hipotesis yuridis, bukan prinsip-prinsip metayuridis (irasional) ataupun empiris. Hukum harus dapat dipahami secara analisis logis berdasarkan cara berpikir yuristik.</w:t>
      </w:r>
      <w:r w:rsidRPr="0063725A">
        <w:rPr>
          <w:rStyle w:val="FootnoteReference"/>
          <w:rFonts w:ascii="Book Antiqua" w:eastAsia="Times New Roman" w:hAnsi="Book Antiqua" w:cs="Arial"/>
          <w:sz w:val="24"/>
          <w:szCs w:val="24"/>
        </w:rPr>
        <w:footnoteReference w:id="166"/>
      </w:r>
      <w:r w:rsidRPr="0063725A">
        <w:rPr>
          <w:rFonts w:ascii="Book Antiqua" w:eastAsia="Times New Roman" w:hAnsi="Book Antiqua" w:cs="Arial"/>
          <w:sz w:val="24"/>
          <w:szCs w:val="24"/>
        </w:rPr>
        <w:t xml:space="preserve">Dalam setiap aktivitas berpikir hukum harus dapat ditarik sampai pada norma yang merupakan aturan-aturan hukum. Norma merupakan standart untuk perilaku manusia yang menentukan sesuai atau tidak sesuai dengan hukum. Prinsip hukum murni tidak memerlukan proses metafisis atau peristiwa fisis yang lebih cenderung pada sifat irasional untuk memahami norma, karena seperti sebuah </w:t>
      </w:r>
      <w:r w:rsidRPr="0063725A">
        <w:rPr>
          <w:rFonts w:ascii="Book Antiqua" w:eastAsia="Times New Roman" w:hAnsi="Book Antiqua" w:cs="Arial"/>
          <w:i/>
          <w:sz w:val="24"/>
          <w:szCs w:val="24"/>
        </w:rPr>
        <w:t>tautologi</w:t>
      </w:r>
      <w:r w:rsidRPr="0063725A">
        <w:rPr>
          <w:rFonts w:ascii="Book Antiqua" w:eastAsia="Times New Roman" w:hAnsi="Book Antiqua" w:cs="Arial"/>
          <w:sz w:val="24"/>
          <w:szCs w:val="24"/>
        </w:rPr>
        <w:t xml:space="preserve"> bahwa satu-satunya yang menjadi objek hukum adalah norma hukum itu sendiri. Kognisi menjadi hukum ketika menghubungkan realitas yang terjadi atau disebut fakta material dengan jenis tindakan yang telah diancam oleh hukum dalam peraturan perundang-undangan, seperti korupsi atau penipuan. Hal ini seperti menarik fakta empiris yang terjadi di masyarakat ke dalam norma hukum positif. Apabila dikembalikan pada prinsip positivisme hukum, maka sifat keilmuan hukum lebih mendasarkan pada rasionalitas yang mengisi seluruh cara kerja dalam seluruh kegiatan yang terkait dengan hukum. Pemahaman tentang positivisme hukum Kelsen selain memisahkan </w:t>
      </w:r>
      <w:r w:rsidRPr="0063725A">
        <w:rPr>
          <w:rFonts w:ascii="Book Antiqua" w:eastAsia="Times New Roman" w:hAnsi="Book Antiqua" w:cs="Arial"/>
          <w:sz w:val="24"/>
          <w:szCs w:val="24"/>
        </w:rPr>
        <w:lastRenderedPageBreak/>
        <w:t>hukum dengan hal-hal yang bersifat irasional, juga memisahkan hukum dengan fakta-fakta empiris.</w:t>
      </w:r>
      <w:r w:rsidRPr="0063725A">
        <w:rPr>
          <w:rStyle w:val="FootnoteReference"/>
          <w:rFonts w:ascii="Book Antiqua" w:eastAsia="Times New Roman" w:hAnsi="Book Antiqua" w:cs="Arial"/>
          <w:sz w:val="24"/>
          <w:szCs w:val="24"/>
        </w:rPr>
        <w:footnoteReference w:id="167"/>
      </w:r>
    </w:p>
    <w:p w:rsidR="00CD411E" w:rsidRPr="0063725A" w:rsidRDefault="00CD411E" w:rsidP="0063725A">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c. Kemanfaatan epistemolo</w:t>
      </w:r>
      <w:r w:rsidR="006E1248">
        <w:rPr>
          <w:rFonts w:ascii="Book Antiqua" w:eastAsia="Times New Roman" w:hAnsi="Book Antiqua" w:cs="Arial"/>
          <w:b/>
          <w:sz w:val="24"/>
          <w:szCs w:val="24"/>
        </w:rPr>
        <w:t xml:space="preserve">gi ilmu hukum </w:t>
      </w:r>
      <w:r w:rsidRPr="0063725A">
        <w:rPr>
          <w:rFonts w:ascii="Book Antiqua" w:eastAsia="Times New Roman" w:hAnsi="Book Antiqua" w:cs="Arial"/>
          <w:b/>
          <w:sz w:val="24"/>
          <w:szCs w:val="24"/>
        </w:rPr>
        <w:t>dikembangkan sarana penalaran akal</w:t>
      </w:r>
    </w:p>
    <w:p w:rsidR="00CD411E" w:rsidRPr="0063725A" w:rsidRDefault="00CD411E" w:rsidP="0063725A">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Beberapa manfaat yang dapat diperoleh dari epistemologi ilmu hukum yang dikembangkan dengan sarana penalaran akal dengan objek kajian berupa sistem norma hukum positif adalah. </w:t>
      </w:r>
      <w:r w:rsidRPr="0063725A">
        <w:rPr>
          <w:rFonts w:ascii="Book Antiqua" w:eastAsia="Times New Roman" w:hAnsi="Book Antiqua" w:cs="Arial"/>
          <w:i/>
          <w:sz w:val="24"/>
          <w:szCs w:val="24"/>
        </w:rPr>
        <w:t>Pertama</w:t>
      </w:r>
      <w:r w:rsidRPr="0063725A">
        <w:rPr>
          <w:rFonts w:ascii="Book Antiqua" w:eastAsia="Times New Roman" w:hAnsi="Book Antiqua" w:cs="Arial"/>
          <w:sz w:val="24"/>
          <w:szCs w:val="24"/>
        </w:rPr>
        <w:t xml:space="preserve">, untuk menentukan hubungan status hukum para pihak yang terkait atau terlibat dalam suatu permasalahan hukum. Para pihak dalam permasalahan hukum disini bukan berkedudukan sebagai objek utama hukum, tetapi sebagai subjek pemicu diterapkannya objek utama hukum yang berupa sistem norma hukum positif dalam peraturan perundang-undangan. </w:t>
      </w:r>
      <w:r w:rsidRPr="0063725A">
        <w:rPr>
          <w:rFonts w:ascii="Book Antiqua" w:eastAsia="Times New Roman" w:hAnsi="Book Antiqua" w:cs="Arial"/>
          <w:i/>
          <w:sz w:val="24"/>
          <w:szCs w:val="24"/>
        </w:rPr>
        <w:t>Kedua</w:t>
      </w:r>
      <w:r w:rsidRPr="0063725A">
        <w:rPr>
          <w:rFonts w:ascii="Book Antiqua" w:eastAsia="Times New Roman" w:hAnsi="Book Antiqua" w:cs="Arial"/>
          <w:sz w:val="24"/>
          <w:szCs w:val="24"/>
        </w:rPr>
        <w:t xml:space="preserve">, untuk memberikan penilaian atau justifikasi hukum terhadap suatu peristiwa hukum tertentu, terkait dengan salah atau benar serta bagaimana sebaiknya menurut hukum. Penilaian ini seperti dalam putusan hakim yang dijatuhkan atas dasar pertimbangan hukum yang digali dari bunyi teks peraturan perundang-undangan, sehingga dalam hal ini asas legalitas menjadi sangat penting peranannya. Semua permasalahan hukum harus terlebih dahulu diatur dalam peraturan perundang-undangan agar memiliki kekuatan hukum (legalitas). Segala keputusan yang tidak memiliki dasar hukum atau dalam bahasa lain tidak diatur dalam peraturan perundang-undangan tidak merupakan keputusan yang benar, sehingga dapat disebut sebagai kesalahan hukum. </w:t>
      </w:r>
      <w:r w:rsidRPr="0063725A">
        <w:rPr>
          <w:rFonts w:ascii="Book Antiqua" w:eastAsia="Times New Roman" w:hAnsi="Book Antiqua" w:cs="Arial"/>
          <w:i/>
          <w:sz w:val="24"/>
          <w:szCs w:val="24"/>
        </w:rPr>
        <w:t>Ketiga</w:t>
      </w:r>
      <w:r w:rsidRPr="0063725A">
        <w:rPr>
          <w:rFonts w:ascii="Book Antiqua" w:eastAsia="Times New Roman" w:hAnsi="Book Antiqua" w:cs="Arial"/>
          <w:sz w:val="24"/>
          <w:szCs w:val="24"/>
        </w:rPr>
        <w:t xml:space="preserve">, untuk meluruskan dan menjaga konsistensi sistem norma hukum positif dalam peraturan perundang-undangan, agar hukum berjalan sesuai dengan tata struktur hierarki yang telah ditentukan oleh negara sebagai lembaga pemegang otoritas tertinggi untuk membentuk, </w:t>
      </w:r>
      <w:r w:rsidRPr="0063725A">
        <w:rPr>
          <w:rFonts w:ascii="Book Antiqua" w:eastAsia="Times New Roman" w:hAnsi="Book Antiqua" w:cs="Arial"/>
          <w:sz w:val="24"/>
          <w:szCs w:val="24"/>
        </w:rPr>
        <w:lastRenderedPageBreak/>
        <w:t xml:space="preserve">melaksanakan dan melakukan perubahan hukum positif. </w:t>
      </w:r>
      <w:r w:rsidRPr="0063725A">
        <w:rPr>
          <w:rFonts w:ascii="Book Antiqua" w:eastAsia="Times New Roman" w:hAnsi="Book Antiqua" w:cs="Arial"/>
          <w:i/>
          <w:sz w:val="24"/>
          <w:szCs w:val="24"/>
        </w:rPr>
        <w:t>Keempat</w:t>
      </w:r>
      <w:r w:rsidRPr="0063725A">
        <w:rPr>
          <w:rFonts w:ascii="Book Antiqua" w:eastAsia="Times New Roman" w:hAnsi="Book Antiqua" w:cs="Arial"/>
          <w:sz w:val="24"/>
          <w:szCs w:val="24"/>
        </w:rPr>
        <w:t xml:space="preserve">, untuk menjaga kemurnian daripada dibentuknya hukum yang sesuai dengan syarat formal sebagaimana diatur dalam sistem norma hukum positif, karena hukum bersifat umum dan untuk mengaturnya harus menggunakan cara-cara yang telah diformalkan keberlakuannya. </w:t>
      </w:r>
      <w:r w:rsidRPr="0063725A">
        <w:rPr>
          <w:rFonts w:ascii="Book Antiqua" w:eastAsia="Times New Roman" w:hAnsi="Book Antiqua" w:cs="Arial"/>
          <w:i/>
          <w:sz w:val="24"/>
          <w:szCs w:val="24"/>
        </w:rPr>
        <w:t>Kelima</w:t>
      </w:r>
      <w:r w:rsidRPr="0063725A">
        <w:rPr>
          <w:rFonts w:ascii="Book Antiqua" w:eastAsia="Times New Roman" w:hAnsi="Book Antiqua" w:cs="Arial"/>
          <w:sz w:val="24"/>
          <w:szCs w:val="24"/>
        </w:rPr>
        <w:t>, proses dalam penyusunan, pengimplementasian dan perubahan hukum harus berjalan dalam ranah logis rasional dengan menerapkan prosedur tata cara yang ketat dan telah dijelaskan dan ditegaskan dalam aturan hukum formil, sehingga runtutan dari sistem yang menjadi keharusan prosedural hukum dapat terukur dan dapat dianalisis secara pasti.</w:t>
      </w:r>
    </w:p>
    <w:p w:rsidR="008258F9" w:rsidRP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E1248" w:rsidRPr="0030390C" w:rsidRDefault="006E1248"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8 Nalar Intuisi</w:t>
      </w:r>
    </w:p>
    <w:p w:rsidR="0063725A" w:rsidRDefault="0063725A" w:rsidP="008258F9">
      <w:pPr>
        <w:spacing w:after="0" w:line="240" w:lineRule="auto"/>
        <w:jc w:val="center"/>
        <w:rPr>
          <w:rFonts w:ascii="Book Antiqua" w:hAnsi="Book Antiqua" w:cs="Times New Roman"/>
          <w:b/>
          <w:sz w:val="32"/>
          <w:szCs w:val="32"/>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Manusia selain memiliki sarana penalaran untuk mengembangkan epistemologi berupa indera dan akal, juga memiliki hati nurani. Pemahaman yang epistemologinya dikembangkan dengan sarana penalaran hati nurani dalam memperoleh pengetahuan yang benar dilakukan dengan metode intuisi.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 (untuk tidak menyebutnya sistem logika). Intuisi pada hakikatnya merupakan naluri yang menjadi kesadaran diri dan menuntun manusia kepada kehidupan batiniah. Intuisi dapat berkembang menjadi petunjuk dalam hal-hal yang penting, sehingga dengan intuisi dapat menemukan dorongan vital  (</w:t>
      </w:r>
      <w:r w:rsidRPr="0063725A">
        <w:rPr>
          <w:rFonts w:ascii="Book Antiqua" w:hAnsi="Book Antiqua" w:cs="Arial"/>
          <w:i/>
          <w:sz w:val="24"/>
          <w:szCs w:val="24"/>
        </w:rPr>
        <w:t>elan vital</w:t>
      </w:r>
      <w:r w:rsidRPr="0063725A">
        <w:rPr>
          <w:rFonts w:ascii="Book Antiqua" w:hAnsi="Book Antiqua" w:cs="Arial"/>
          <w:sz w:val="24"/>
          <w:szCs w:val="24"/>
        </w:rPr>
        <w:t>) dari dunia yang berasal dari dalam diri manusia dan bersifat langsung. Seseorang yang sedang terpusat pikirannya pada suatu masalah tiba-tiba saja menemukan jawaban atas permasalahan yang sedang dipikirkannya muncul di dalam benak hatinya bagaikan kebenaran yang membukakan pintu keluar. Dalam penalaran intuisi manusia merasa yakin bahwa memang itulah jawaban yang benar dan dicari, akan tetapi terkadang tidak mampu menjelaskan bagaimana cara sampai menemukannya.</w:t>
      </w:r>
      <w:r w:rsidRPr="0063725A">
        <w:rPr>
          <w:rStyle w:val="FootnoteReference"/>
          <w:rFonts w:ascii="Book Antiqua" w:hAnsi="Book Antiqua" w:cs="Arial"/>
          <w:sz w:val="24"/>
          <w:szCs w:val="24"/>
        </w:rPr>
        <w:footnoteReference w:id="168"/>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Menurut Hendry Bergson bukan hanya indera yang terbatas, tetapi akal juga mempunyai keterbatasan. Indera dan akal hanya dapat memahami suatu objek bila melihat danmengonsentrasikan pada objek tersebut. Intuisi hati nurani memiliki </w:t>
      </w:r>
      <w:r w:rsidRPr="0063725A">
        <w:rPr>
          <w:rFonts w:ascii="Book Antiqua" w:hAnsi="Book Antiqua" w:cs="Arial"/>
          <w:sz w:val="24"/>
          <w:szCs w:val="24"/>
        </w:rPr>
        <w:lastRenderedPageBreak/>
        <w:t>kemampuan untuk dapat memahami suatu objek secara utuh, tetap dan menyeluruh.Dalam melakukan proses penalaran intuisi manusia harus berusaha melalui perenungan dan olah batin yang mendalam atau kontemplasi. Epistemologi yang dikembangkan dengan sarana penalaran utama hati nurani dilakukan melalui penalaran intuisi yang bersifat personal dan tidak dapat diramalkan. Intuisi sebagai dasar untuk menyusun pengetahuan ilmiah yang benar dan tersistem secara teratursering diabaikan, padahal intuisi dapat digunakan sebagai hipotesis awal bagi analisis yang selanjutnya dalam menentukan benar tidaknya pengetahuan yang diperoleh. Penalaran intuisi dapat membantu dalam memperoleh kebenaran yang bersifat analitik dari logika akal dan realitas nyata secara inderawi.</w:t>
      </w:r>
      <w:r w:rsidRPr="0063725A">
        <w:rPr>
          <w:rStyle w:val="FootnoteReference"/>
          <w:rFonts w:ascii="Book Antiqua" w:hAnsi="Book Antiqua" w:cs="Arial"/>
          <w:sz w:val="24"/>
          <w:szCs w:val="24"/>
        </w:rPr>
        <w:footnoteReference w:id="16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hAnsi="Book Antiqua" w:cs="Arial"/>
          <w:sz w:val="24"/>
          <w:szCs w:val="24"/>
        </w:rPr>
        <w:t>Peran intuisi dalam pengetahuan manusia tidak dapat dikesampingkan begitu saja, bahkan oleh beberapa ilmuan seperti Maslow, intuisi disebut pengalaman puncak sebagai pembentuk pengetahuan yang benar bagi manusia (</w:t>
      </w:r>
      <w:r w:rsidRPr="0063725A">
        <w:rPr>
          <w:rFonts w:ascii="Book Antiqua" w:hAnsi="Book Antiqua" w:cs="Arial"/>
          <w:i/>
          <w:sz w:val="24"/>
          <w:szCs w:val="24"/>
        </w:rPr>
        <w:t>peak experience</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70"/>
      </w:r>
      <w:r w:rsidRPr="0063725A">
        <w:rPr>
          <w:rFonts w:ascii="Book Antiqua" w:hAnsi="Book Antiqua" w:cs="Arial"/>
          <w:sz w:val="24"/>
          <w:szCs w:val="24"/>
        </w:rPr>
        <w:t xml:space="preserve"> Sebagai pengalaman puncak dapat diartikan lebih dari seperti apa yang dapat dilihat dari pengalaman indera dan atau logika rasional, sehingga pengalaman yang diperoleh dari rangkaian suatu fakta dan atau ide-ide yang masuk akal telah bergulat dengan perenungan yang bersifat mendalam sehingga membentuk sebuah kesimpulan yang bermakna lebih tinggi. Intuisi oleh Nietzsche dipahami sebagai suatu inteligensi dari kemampuan manusia yang paling tinggi.</w:t>
      </w:r>
      <w:r w:rsidRPr="0063725A">
        <w:rPr>
          <w:rStyle w:val="FootnoteReference"/>
          <w:rFonts w:ascii="Book Antiqua" w:hAnsi="Book Antiqua" w:cs="Arial"/>
          <w:sz w:val="24"/>
          <w:szCs w:val="24"/>
        </w:rPr>
        <w:footnoteReference w:id="171"/>
      </w:r>
      <w:r w:rsidRPr="0063725A">
        <w:rPr>
          <w:rFonts w:ascii="Book Antiqua" w:hAnsi="Book Antiqua" w:cs="Arial"/>
          <w:sz w:val="24"/>
          <w:szCs w:val="24"/>
        </w:rPr>
        <w:t xml:space="preserve"> Pengetahuan yang tidak lagi dapat dijangkau oleh akal dan indera manusia, maka pengetahuan tersebut memiliki suatu nilai yang lebih. Kemampuan akal dan indera </w:t>
      </w:r>
      <w:r w:rsidRPr="0063725A">
        <w:rPr>
          <w:rFonts w:ascii="Book Antiqua" w:hAnsi="Book Antiqua" w:cs="Arial"/>
          <w:sz w:val="24"/>
          <w:szCs w:val="24"/>
        </w:rPr>
        <w:lastRenderedPageBreak/>
        <w:t>manusia memiliki keterbatasan, hal itu dapat dilihat dari metode penalaran yang digunakan. Sedangkan intuisi yang merupakan penalaran hati nurani yang tidak dibatasi oleh metode penalaran tertentu, seperti dalam metode penalaran induksi dan deduksi. Artinya tidak ada batasan atau ukuran dalam penalaran intuisi, karena tergantung dari kedalaman kemampuan personal masing-masing manusia untuk melakukan olah batin.</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Hati nurani sebagai sarana penalaran dalam mengembangkan epistemologi ilmu pengetahuan manusia juga telah banyak dijelaskan dalam Islam. Hal itu dapat dilihat dari penjelasan yang terdapat dalam al-Quran sebagai sumber ilmu pengetahuan yang bersifat mutlak yang berasal dari wahyu Tuhan dan berbagai pandangan dari tokoh-tokoh sufi Islam. Dalam al-Qur’an terdapat beberapa ayat yang menjelaskan tentang hati nurani atau qalbu sebagai sarana penalaran dalam mengembangkan epistemologi ilmu pengetahuan bagi manusia, seperti terdapat dalam Q.S As Syams ayat 7-10; </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r w:rsidRPr="0063725A">
        <w:rPr>
          <w:rFonts w:ascii="Book Antiqua" w:eastAsia="Times New Roman" w:hAnsi="Book Antiqua" w:cs="Arial"/>
          <w:i/>
          <w:sz w:val="24"/>
          <w:szCs w:val="24"/>
        </w:rPr>
        <w:t>“Dan jiwa serta penyempurnaannya (ciptaannya). Maka Allah mengilhamkan kepada jiwa itu (jalan) kefasikan dan ketakwaannya. Sesungguhnya beruntunglah orang yang mensucikan jiwa itu. Dan sesungguhnya merugilah orang yang mengotorinya.”</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Dalam ayat tersebut tersirat penjelasan tentang penggunaan hati nurani sebagai instrumen manusia untuk menerima ilham (pengetahuan mutlak) menuju jalan yang benar dari Tuhan. Oleh karena itu, hati nurani sebagai sarana penalaran dalam mengembangkan epistemologi pengetahuan memiliki kedekatan dengan kehidupan spiritual Ketuhanan yang harus dijaga kesuciaannya.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 xml:space="preserve">Perasaan yang terdapat dalam hati nurani bersifat batiniah, sehingga hal ini memiliki kedekatan dengan kehidupan spiritual manusia dalam rangka </w:t>
      </w:r>
      <w:r w:rsidRPr="0063725A">
        <w:rPr>
          <w:rFonts w:ascii="Book Antiqua" w:eastAsia="Times New Roman" w:hAnsi="Book Antiqua" w:cs="Arial"/>
          <w:sz w:val="24"/>
          <w:szCs w:val="24"/>
        </w:rPr>
        <w:lastRenderedPageBreak/>
        <w:t>mendapatkan petunjuk pengetahuan yang benar dari Tuhan melalui berdzikir,</w:t>
      </w:r>
      <w:r w:rsidRPr="0063725A">
        <w:rPr>
          <w:rStyle w:val="FootnoteReference"/>
          <w:rFonts w:ascii="Book Antiqua" w:eastAsia="Times New Roman" w:hAnsi="Book Antiqua" w:cs="Arial"/>
          <w:sz w:val="24"/>
          <w:szCs w:val="24"/>
        </w:rPr>
        <w:footnoteReference w:id="172"/>
      </w:r>
      <w:r w:rsidRPr="0063725A">
        <w:rPr>
          <w:rFonts w:ascii="Book Antiqua" w:eastAsia="Times New Roman" w:hAnsi="Book Antiqua" w:cs="Arial"/>
          <w:sz w:val="24"/>
          <w:szCs w:val="24"/>
        </w:rPr>
        <w:t xml:space="preserve"> seperti dijelaskan dalam Q.S Al-Jatsiyyah ayat 23; </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Allah telah mengunci mati pendengaran dan hatinya dan meletakkan tutupan atas penglihatannya? Maka siapakah yang akan memberinya petunjuk sesudah Allah (membiarkannya sesat). Maka mengapa kamu tidak mengambil pelajaran?.”</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Hati nurani sebagai bagian dari sarana penalaran untuk mengembangkan epistemologi pengetahuan memiliki formasi dan kedudukan sebagai instrumen untuk mendapatkan petunjuk Tuhan, sehingga dengan pengunaan hati nurani yang baik manusia terhindar dari kesesatan karenamemperoleh pengetahuan yang benar dari Tuhan. Hal yang sama juga disebutkan dalam </w:t>
      </w:r>
      <w:r w:rsidRPr="0063725A">
        <w:rPr>
          <w:rFonts w:ascii="Book Antiqua" w:hAnsi="Book Antiqua" w:cs="Arial"/>
          <w:iCs/>
          <w:sz w:val="24"/>
          <w:szCs w:val="24"/>
        </w:rPr>
        <w:t>Q.S a</w:t>
      </w:r>
      <w:r w:rsidRPr="0063725A">
        <w:rPr>
          <w:rFonts w:ascii="Book Antiqua" w:eastAsia="Times New Roman" w:hAnsi="Book Antiqua" w:cs="Arial"/>
          <w:sz w:val="24"/>
          <w:szCs w:val="24"/>
        </w:rPr>
        <w:t>l-Furqan ayat 63;</w:t>
      </w:r>
    </w:p>
    <w:p w:rsidR="00D72575" w:rsidRPr="0063725A" w:rsidRDefault="00D72575" w:rsidP="00D72575">
      <w:pPr>
        <w:tabs>
          <w:tab w:val="right" w:leader="dot" w:pos="7938"/>
        </w:tabs>
        <w:spacing w:after="0" w:line="240" w:lineRule="auto"/>
        <w:jc w:val="both"/>
        <w:rPr>
          <w:rFonts w:ascii="Book Antiqua" w:eastAsia="Times New Roman" w:hAnsi="Book Antiqua" w:cs="Arial"/>
          <w:i/>
          <w:sz w:val="24"/>
          <w:szCs w:val="24"/>
        </w:rPr>
      </w:pPr>
      <w:r w:rsidRPr="0063725A">
        <w:rPr>
          <w:rFonts w:ascii="Book Antiqua" w:eastAsia="Times New Roman" w:hAnsi="Book Antiqua" w:cs="Arial"/>
          <w:i/>
          <w:sz w:val="24"/>
          <w:szCs w:val="24"/>
        </w:rPr>
        <w:t>“Dan hamba-hamba Tuhan yang Maha Penyayang itu (ialah) orang-orang yang berjalan di atas bumi dengan rendah hati dan apabila orang-orang jahil menyapa mereka, mereka mengucapkan kata-kata (yang mengandung) keselamatan.”</w:t>
      </w:r>
    </w:p>
    <w:p w:rsidR="00D72575" w:rsidRPr="0063725A" w:rsidRDefault="00D72575" w:rsidP="00D72575">
      <w:pPr>
        <w:tabs>
          <w:tab w:val="right" w:leader="dot" w:pos="7938"/>
        </w:tabs>
        <w:spacing w:after="0" w:line="240" w:lineRule="auto"/>
        <w:jc w:val="both"/>
        <w:rPr>
          <w:rFonts w:ascii="Book Antiqua" w:eastAsia="Times New Roman"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Kerendahan hati manusia seperti tersebut dalam ayat di atas merupakan bentuk dari implementasi penggunaan hati nurani sebagai sarana penalaran utama dalam mengembangkan epistemologiyang sesuai dengan petunjuk Tuhan. Dalam hal ini hati nurani memiliki kedudukan dan fungsi yang cukup penting dan menentukan derajat manusia diahadap Tuhannya.</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Tokoh sufi</w:t>
      </w:r>
      <w:r w:rsidRPr="0063725A">
        <w:rPr>
          <w:rFonts w:ascii="Book Antiqua" w:hAnsi="Book Antiqua"/>
          <w:sz w:val="24"/>
          <w:szCs w:val="24"/>
        </w:rPr>
        <w:t>-</w:t>
      </w:r>
      <w:r w:rsidRPr="0063725A">
        <w:rPr>
          <w:rFonts w:ascii="Book Antiqua" w:eastAsia="Times New Roman" w:hAnsi="Book Antiqua" w:cs="Arial"/>
          <w:sz w:val="24"/>
          <w:szCs w:val="24"/>
        </w:rPr>
        <w:t xml:space="preserve">tasawuf Islam yang cukup terkenal dengan hati nurani sebagai sarana penalaran dalam mengembangkan epistemologi adalah al-Ghazali. </w:t>
      </w:r>
      <w:r w:rsidRPr="0063725A">
        <w:rPr>
          <w:rFonts w:ascii="Book Antiqua" w:hAnsi="Book Antiqua" w:cs="Arial"/>
          <w:iCs/>
          <w:color w:val="000000"/>
          <w:sz w:val="24"/>
          <w:szCs w:val="24"/>
        </w:rPr>
        <w:t>Kebenaran dalam pandangan sufi tidak mungkin tercapai hanya dengan belajar, tetapi harus dengan ketersingkapan batin dan ruhani.</w:t>
      </w:r>
      <w:r w:rsidRPr="0063725A">
        <w:rPr>
          <w:rStyle w:val="FootnoteReference"/>
          <w:rFonts w:ascii="Book Antiqua" w:hAnsi="Book Antiqua" w:cs="Arial"/>
          <w:iCs/>
          <w:color w:val="000000"/>
          <w:sz w:val="24"/>
          <w:szCs w:val="24"/>
        </w:rPr>
        <w:footnoteReference w:id="173"/>
      </w:r>
      <w:r w:rsidRPr="0063725A">
        <w:rPr>
          <w:rFonts w:ascii="Book Antiqua" w:eastAsia="Times New Roman" w:hAnsi="Book Antiqua" w:cs="Times New Roman"/>
          <w:sz w:val="24"/>
          <w:szCs w:val="24"/>
          <w:lang w:eastAsia="en-GB"/>
        </w:rPr>
        <w:t xml:space="preserve">Seseorang yang menempuh jalan sufi menurut al-Ghazali harus konsisten menjalani hidup menyendiri, diam, menahan lapar dan tidak tidur malam hari. Hal ini dimaksudkan untuk </w:t>
      </w:r>
      <w:r w:rsidRPr="0063725A">
        <w:rPr>
          <w:rFonts w:ascii="Book Antiqua" w:eastAsia="Times New Roman" w:hAnsi="Book Antiqua" w:cs="Times New Roman"/>
          <w:sz w:val="24"/>
          <w:szCs w:val="24"/>
          <w:lang w:eastAsia="en-GB"/>
        </w:rPr>
        <w:lastRenderedPageBreak/>
        <w:t>mengosongkan dan membina qalbudari berbagai pesona duniawi yang menghambat jalan sufi. Menurut al-Ghazali sarana</w:t>
      </w:r>
      <w:r w:rsidRPr="0063725A">
        <w:rPr>
          <w:rFonts w:ascii="Book Antiqua" w:eastAsia="Times New Roman" w:hAnsi="Book Antiqua" w:cs="Times New Roman"/>
          <w:i/>
          <w:sz w:val="24"/>
          <w:szCs w:val="24"/>
          <w:lang w:eastAsia="en-GB"/>
        </w:rPr>
        <w:t>ma’rifat</w:t>
      </w:r>
      <w:r w:rsidRPr="0063725A">
        <w:rPr>
          <w:rFonts w:ascii="Book Antiqua" w:eastAsia="Times New Roman" w:hAnsi="Book Antiqua" w:cs="Times New Roman"/>
          <w:sz w:val="24"/>
          <w:szCs w:val="24"/>
          <w:lang w:eastAsia="en-GB"/>
        </w:rPr>
        <w:t>adalah qalbu,bukanlah bagian tubuhyang terletak pada bagian dalam dada kiri manusia, tapi adalah percikan ruhaniah keTuhanan yang merupakanhakikat realitas manusia.Qalbubagaikan cermin dan ilmu adalahpantulan gambar realitas yang terdapat di dalamnya, jika cermin qalbutidak bening, maka ia tidak dapat memantulkanrealitas ilmu. Sesuatu yang membuat cermin qalbu tidak bening adalah hawa nafsu yang bersifat lahiriah dan ketaatan kepada Allah serta keterpalingan dari tuntutan hawa-nafsu itulah membuat qalbu bening cemerlang.</w:t>
      </w:r>
      <w:r w:rsidRPr="0063725A">
        <w:rPr>
          <w:rStyle w:val="FootnoteReference"/>
          <w:rFonts w:ascii="Book Antiqua" w:eastAsia="Times New Roman" w:hAnsi="Book Antiqua" w:cs="Times New Roman"/>
          <w:sz w:val="24"/>
          <w:szCs w:val="24"/>
          <w:lang w:eastAsia="en-GB"/>
        </w:rPr>
        <w:footnoteReference w:id="174"/>
      </w:r>
      <w:r w:rsidRPr="0063725A">
        <w:rPr>
          <w:rFonts w:ascii="Book Antiqua" w:eastAsia="Times New Roman" w:hAnsi="Book Antiqua" w:cs="Times New Roman"/>
          <w:sz w:val="24"/>
          <w:szCs w:val="24"/>
          <w:lang w:eastAsia="en-GB"/>
        </w:rPr>
        <w:t>Menurutal-Ghazali, ada beberapa jenjangyang harus dilalui untuk menjadi seorangsufi, yaitu;</w:t>
      </w:r>
      <w:r w:rsidRPr="0063725A">
        <w:rPr>
          <w:rFonts w:ascii="Book Antiqua" w:eastAsia="Times New Roman" w:hAnsi="Book Antiqua" w:cs="Times New Roman"/>
          <w:i/>
          <w:sz w:val="24"/>
          <w:szCs w:val="24"/>
          <w:lang w:eastAsia="en-GB"/>
        </w:rPr>
        <w:t>tobat, sabar, fakir,zuhud, tawakal</w:t>
      </w:r>
      <w:r w:rsidRPr="0063725A">
        <w:rPr>
          <w:rFonts w:ascii="Book Antiqua" w:eastAsia="Times New Roman" w:hAnsi="Book Antiqua" w:cs="Times New Roman"/>
          <w:sz w:val="24"/>
          <w:szCs w:val="24"/>
          <w:lang w:eastAsia="en-GB"/>
        </w:rPr>
        <w:t xml:space="preserve"> dan </w:t>
      </w:r>
      <w:r w:rsidRPr="0063725A">
        <w:rPr>
          <w:rFonts w:ascii="Book Antiqua" w:eastAsia="Times New Roman" w:hAnsi="Book Antiqua" w:cs="Times New Roman"/>
          <w:i/>
          <w:sz w:val="24"/>
          <w:szCs w:val="24"/>
          <w:lang w:eastAsia="en-GB"/>
        </w:rPr>
        <w:t>ma’rifat.</w:t>
      </w:r>
      <w:r w:rsidRPr="0063725A">
        <w:rPr>
          <w:rStyle w:val="FootnoteReference"/>
          <w:rFonts w:ascii="Book Antiqua" w:eastAsia="Times New Roman" w:hAnsi="Book Antiqua" w:cs="Times New Roman"/>
          <w:sz w:val="24"/>
          <w:szCs w:val="24"/>
          <w:lang w:eastAsia="en-GB"/>
        </w:rPr>
        <w:footnoteReference w:id="175"/>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eastAsia="Times New Roman" w:hAnsi="Book Antiqua" w:cs="Arial"/>
          <w:sz w:val="24"/>
          <w:szCs w:val="24"/>
        </w:rPr>
        <w:t xml:space="preserve">Ilmu pengetahuan olah batin seperti </w:t>
      </w:r>
      <w:r w:rsidRPr="0063725A">
        <w:rPr>
          <w:rFonts w:ascii="Book Antiqua" w:eastAsia="Times New Roman" w:hAnsi="Book Antiqua" w:cs="Arial"/>
          <w:i/>
          <w:sz w:val="24"/>
          <w:szCs w:val="24"/>
        </w:rPr>
        <w:t>suluk, riyadhah</w:t>
      </w:r>
      <w:r w:rsidRPr="0063725A">
        <w:rPr>
          <w:rFonts w:ascii="Book Antiqua" w:eastAsia="Times New Roman" w:hAnsi="Book Antiqua" w:cs="Arial"/>
          <w:sz w:val="24"/>
          <w:szCs w:val="24"/>
        </w:rPr>
        <w:t xml:space="preserve">, </w:t>
      </w:r>
      <w:r w:rsidRPr="0063725A">
        <w:rPr>
          <w:rFonts w:ascii="Book Antiqua" w:eastAsia="Times New Roman" w:hAnsi="Book Antiqua" w:cs="Arial"/>
          <w:i/>
          <w:sz w:val="24"/>
          <w:szCs w:val="24"/>
        </w:rPr>
        <w:t xml:space="preserve">huduri </w:t>
      </w:r>
      <w:r w:rsidRPr="0063725A">
        <w:rPr>
          <w:rFonts w:ascii="Book Antiqua" w:eastAsia="Times New Roman" w:hAnsi="Book Antiqua" w:cs="Arial"/>
          <w:sz w:val="24"/>
          <w:szCs w:val="24"/>
        </w:rPr>
        <w:t>dan</w:t>
      </w:r>
      <w:r w:rsidRPr="0063725A">
        <w:rPr>
          <w:rFonts w:ascii="Book Antiqua" w:eastAsia="Times New Roman" w:hAnsi="Book Antiqua" w:cs="Arial"/>
          <w:i/>
          <w:sz w:val="24"/>
          <w:szCs w:val="24"/>
        </w:rPr>
        <w:t xml:space="preserve"> ladunni</w:t>
      </w:r>
      <w:r w:rsidRPr="0063725A">
        <w:rPr>
          <w:rFonts w:ascii="Book Antiqua" w:eastAsia="Times New Roman" w:hAnsi="Book Antiqua" w:cs="Arial"/>
          <w:sz w:val="24"/>
          <w:szCs w:val="24"/>
        </w:rPr>
        <w:t xml:space="preserve"> diperoleh orang-orang tertentu dengan tidak melalui proses seperti ilmu pengetahuan pada umumnya. Hal itu diperoleh melalui proses pencerahan langsung dengan hadirnya cahaya Tuhan dalam hati, dengan itu semua pintu ilmu pengetahuan terbuka menerangi kebenaran, terbaca dengan jelas dan terserap dalam kesadaran intelek, seakan-akan orang tersebut memperoleh ilmu dari Tuhan secara langsung. Dalam hal ini Tuhan bertindak sebagai pengajarnya.</w:t>
      </w:r>
      <w:r w:rsidRPr="0063725A">
        <w:rPr>
          <w:rStyle w:val="FootnoteReference"/>
          <w:rFonts w:ascii="Book Antiqua" w:eastAsia="Times New Roman" w:hAnsi="Book Antiqua" w:cs="Arial"/>
          <w:sz w:val="24"/>
          <w:szCs w:val="24"/>
        </w:rPr>
        <w:footnoteReference w:id="176"/>
      </w:r>
      <w:r w:rsidRPr="0063725A">
        <w:rPr>
          <w:rFonts w:ascii="Book Antiqua" w:eastAsia="Times New Roman" w:hAnsi="Book Antiqua" w:cs="Arial"/>
          <w:sz w:val="24"/>
          <w:szCs w:val="24"/>
        </w:rPr>
        <w:t xml:space="preserve"> Metode penalaran intuisi hati nurani dalam Islam sering disebut </w:t>
      </w:r>
      <w:r w:rsidRPr="0063725A">
        <w:rPr>
          <w:rFonts w:ascii="Book Antiqua" w:eastAsia="Times New Roman" w:hAnsi="Book Antiqua" w:cs="Arial"/>
          <w:i/>
          <w:sz w:val="24"/>
          <w:szCs w:val="24"/>
        </w:rPr>
        <w:t>irfani</w:t>
      </w:r>
      <w:r w:rsidRPr="0063725A">
        <w:rPr>
          <w:rFonts w:ascii="Book Antiqua" w:eastAsia="Times New Roman" w:hAnsi="Book Antiqua" w:cs="Arial"/>
          <w:sz w:val="24"/>
          <w:szCs w:val="24"/>
        </w:rPr>
        <w:t xml:space="preserve">. Muhammad Iqbal seperti dikemukakan Danusiri menjelaskan bahwa pengetahuan intuitif lebih tinggi daripada pengetahuan rasional dan empiris, karena akal dan indera adalah </w:t>
      </w:r>
      <w:r w:rsidRPr="0063725A">
        <w:rPr>
          <w:rFonts w:ascii="Book Antiqua" w:eastAsia="Times New Roman" w:hAnsi="Book Antiqua" w:cs="Arial"/>
          <w:sz w:val="24"/>
          <w:szCs w:val="24"/>
        </w:rPr>
        <w:lastRenderedPageBreak/>
        <w:t>instrumen yang lebih cenderung untuk memahami objek materiil serta hubungan kuantitatif, sedangkan intuisi hati nurani dapat menuntun pada kehidupan imateriil.</w:t>
      </w:r>
      <w:r w:rsidRPr="0063725A">
        <w:rPr>
          <w:rStyle w:val="FootnoteReference"/>
          <w:rFonts w:ascii="Book Antiqua" w:eastAsia="Times New Roman" w:hAnsi="Book Antiqua" w:cs="Arial"/>
          <w:sz w:val="24"/>
          <w:szCs w:val="24"/>
        </w:rPr>
        <w:footnoteReference w:id="177"/>
      </w:r>
      <w:r w:rsidRPr="0063725A">
        <w:rPr>
          <w:rFonts w:ascii="Book Antiqua" w:eastAsia="Times New Roman" w:hAnsi="Book Antiqua" w:cs="Arial"/>
          <w:sz w:val="24"/>
          <w:szCs w:val="24"/>
        </w:rPr>
        <w:t xml:space="preserve"> Intuisi merupakan suatu sarana untuk mengetahui secara langsung dan lengkap kebenaran ilmu pengetahuan.</w:t>
      </w:r>
      <w:r w:rsidRPr="0063725A">
        <w:rPr>
          <w:rStyle w:val="FootnoteReference"/>
          <w:rFonts w:ascii="Book Antiqua" w:eastAsia="Times New Roman" w:hAnsi="Book Antiqua" w:cs="Arial"/>
          <w:sz w:val="24"/>
          <w:szCs w:val="24"/>
        </w:rPr>
        <w:footnoteReference w:id="178"/>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 xml:space="preserve">Hati nurani memperoleh pengetahuan lewat penyinaran hakekat Tuhan kepada hambanya setelah olah ruhani.Menurut al-Jabiri makna batin yang diperoleh dari </w:t>
      </w:r>
      <w:r w:rsidR="00D72575" w:rsidRPr="0063725A">
        <w:rPr>
          <w:rFonts w:ascii="Book Antiqua" w:hAnsi="Book Antiqua" w:cs="Arial"/>
          <w:i/>
          <w:sz w:val="24"/>
          <w:szCs w:val="24"/>
        </w:rPr>
        <w:t>ilham</w:t>
      </w:r>
      <w:r w:rsidR="00D72575" w:rsidRPr="0063725A">
        <w:rPr>
          <w:rFonts w:ascii="Book Antiqua" w:hAnsi="Book Antiqua" w:cs="Arial"/>
          <w:sz w:val="24"/>
          <w:szCs w:val="24"/>
        </w:rPr>
        <w:t xml:space="preserve"> tersebut diungkapkan dengan dua cara. </w:t>
      </w:r>
      <w:r w:rsidR="00D72575" w:rsidRPr="0063725A">
        <w:rPr>
          <w:rFonts w:ascii="Book Antiqua" w:hAnsi="Book Antiqua" w:cs="Arial"/>
          <w:i/>
          <w:sz w:val="24"/>
          <w:szCs w:val="24"/>
        </w:rPr>
        <w:t>Pertama</w:t>
      </w:r>
      <w:r w:rsidR="00D72575" w:rsidRPr="0063725A">
        <w:rPr>
          <w:rFonts w:ascii="Book Antiqua" w:hAnsi="Book Antiqua" w:cs="Arial"/>
          <w:sz w:val="24"/>
          <w:szCs w:val="24"/>
        </w:rPr>
        <w:t xml:space="preserve">, </w:t>
      </w:r>
      <w:r w:rsidR="00D72575" w:rsidRPr="0063725A">
        <w:rPr>
          <w:rFonts w:ascii="Book Antiqua" w:hAnsi="Book Antiqua" w:cs="Arial"/>
          <w:i/>
          <w:sz w:val="24"/>
          <w:szCs w:val="24"/>
        </w:rPr>
        <w:t>i’tibar</w:t>
      </w:r>
      <w:r w:rsidR="00D72575" w:rsidRPr="0063725A">
        <w:rPr>
          <w:rFonts w:ascii="Book Antiqua" w:hAnsi="Book Antiqua" w:cs="Arial"/>
          <w:sz w:val="24"/>
          <w:szCs w:val="24"/>
        </w:rPr>
        <w:t xml:space="preserve">, yaitu analogi makna batin yang ditangkap dalam </w:t>
      </w:r>
      <w:r w:rsidR="00D72575" w:rsidRPr="0063725A">
        <w:rPr>
          <w:rFonts w:ascii="Book Antiqua" w:hAnsi="Book Antiqua" w:cs="Arial"/>
          <w:i/>
          <w:sz w:val="24"/>
          <w:szCs w:val="24"/>
        </w:rPr>
        <w:t>kashf</w:t>
      </w:r>
      <w:r w:rsidR="00D72575" w:rsidRPr="0063725A">
        <w:rPr>
          <w:rFonts w:ascii="Book Antiqua" w:hAnsi="Book Antiqua" w:cs="Arial"/>
          <w:sz w:val="24"/>
          <w:szCs w:val="24"/>
        </w:rPr>
        <w:t xml:space="preserve"> kepada makna </w:t>
      </w:r>
      <w:r w:rsidR="00D72575" w:rsidRPr="0063725A">
        <w:rPr>
          <w:rFonts w:ascii="Book Antiqua" w:hAnsi="Book Antiqua" w:cs="Arial"/>
          <w:i/>
          <w:sz w:val="24"/>
          <w:szCs w:val="24"/>
        </w:rPr>
        <w:t>zahir</w:t>
      </w:r>
      <w:r w:rsidR="00D72575" w:rsidRPr="0063725A">
        <w:rPr>
          <w:rFonts w:ascii="Book Antiqua" w:hAnsi="Book Antiqua" w:cs="Arial"/>
          <w:sz w:val="24"/>
          <w:szCs w:val="24"/>
        </w:rPr>
        <w:t xml:space="preserve"> yang ada dalam teks.</w:t>
      </w:r>
      <w:r w:rsidR="00D72575" w:rsidRPr="0063725A">
        <w:rPr>
          <w:rFonts w:ascii="Book Antiqua" w:hAnsi="Book Antiqua" w:cs="Arial"/>
          <w:i/>
          <w:sz w:val="24"/>
          <w:szCs w:val="24"/>
        </w:rPr>
        <w:t>Kedua</w:t>
      </w:r>
      <w:r w:rsidR="00D72575" w:rsidRPr="0063725A">
        <w:rPr>
          <w:rFonts w:ascii="Book Antiqua" w:hAnsi="Book Antiqua" w:cs="Arial"/>
          <w:sz w:val="24"/>
          <w:szCs w:val="24"/>
        </w:rPr>
        <w:t xml:space="preserve">, </w:t>
      </w:r>
      <w:r w:rsidR="00D72575" w:rsidRPr="0063725A">
        <w:rPr>
          <w:rFonts w:ascii="Book Antiqua" w:hAnsi="Book Antiqua" w:cs="Arial"/>
          <w:i/>
          <w:sz w:val="24"/>
          <w:szCs w:val="24"/>
        </w:rPr>
        <w:t xml:space="preserve">Syatahat, </w:t>
      </w:r>
      <w:r w:rsidR="00D72575" w:rsidRPr="0063725A">
        <w:rPr>
          <w:rFonts w:ascii="Book Antiqua" w:hAnsi="Book Antiqua" w:cs="Arial"/>
          <w:sz w:val="24"/>
          <w:szCs w:val="24"/>
        </w:rPr>
        <w:t xml:space="preserve">adalah ungkapan lisan tentang perasaan karena limpahan pengetahuan langsung dari sumbernya. Ungkapan tersebut keluar dari seseorang saat mengalami suatu pengalaman intuitif yang sangat mendalam, sehingga sering tidak sesuai dengan kaidah, bahkan dapat dihujat dan dinilai menyimpang. Meski demikian, secara umum </w:t>
      </w:r>
      <w:r w:rsidR="00D72575" w:rsidRPr="0063725A">
        <w:rPr>
          <w:rFonts w:ascii="Book Antiqua" w:hAnsi="Book Antiqua" w:cs="Arial"/>
          <w:i/>
          <w:sz w:val="24"/>
          <w:szCs w:val="24"/>
        </w:rPr>
        <w:t>syatahat</w:t>
      </w:r>
      <w:r w:rsidR="00D72575" w:rsidRPr="0063725A">
        <w:rPr>
          <w:rFonts w:ascii="Book Antiqua" w:hAnsi="Book Antiqua" w:cs="Arial"/>
          <w:sz w:val="24"/>
          <w:szCs w:val="24"/>
        </w:rPr>
        <w:t xml:space="preserve"> sebenarnya diterima dikalangan sufi. Hakikat </w:t>
      </w:r>
      <w:r w:rsidR="00D72575" w:rsidRPr="0063725A">
        <w:rPr>
          <w:rFonts w:ascii="Book Antiqua" w:hAnsi="Book Antiqua" w:cs="Arial"/>
          <w:i/>
          <w:sz w:val="24"/>
          <w:szCs w:val="24"/>
        </w:rPr>
        <w:t xml:space="preserve">i’tibar </w:t>
      </w:r>
      <w:r w:rsidR="00D72575" w:rsidRPr="0063725A">
        <w:rPr>
          <w:rFonts w:ascii="Book Antiqua" w:hAnsi="Book Antiqua" w:cs="Arial"/>
          <w:sz w:val="24"/>
          <w:szCs w:val="24"/>
        </w:rPr>
        <w:t>dan</w:t>
      </w:r>
      <w:r w:rsidR="00D72575" w:rsidRPr="0063725A">
        <w:rPr>
          <w:rFonts w:ascii="Book Antiqua" w:hAnsi="Book Antiqua" w:cs="Arial"/>
          <w:i/>
          <w:sz w:val="24"/>
          <w:szCs w:val="24"/>
        </w:rPr>
        <w:t xml:space="preserve"> syatahat</w:t>
      </w:r>
      <w:r w:rsidR="00D72575" w:rsidRPr="0063725A">
        <w:rPr>
          <w:rFonts w:ascii="Book Antiqua" w:hAnsi="Book Antiqua" w:cs="Arial"/>
          <w:sz w:val="24"/>
          <w:szCs w:val="24"/>
        </w:rPr>
        <w:t xml:space="preserve"> terletak pada makna temporal dan subjektivitasnya, karena tidak lain adalah pemaknaan atas realitas yang ditangkap saat </w:t>
      </w:r>
      <w:r w:rsidR="00D72575" w:rsidRPr="0063725A">
        <w:rPr>
          <w:rFonts w:ascii="Book Antiqua" w:hAnsi="Book Antiqua" w:cs="Arial"/>
          <w:i/>
          <w:sz w:val="24"/>
          <w:szCs w:val="24"/>
        </w:rPr>
        <w:t>kashf</w:t>
      </w:r>
      <w:r w:rsidR="00D72575" w:rsidRPr="0063725A">
        <w:rPr>
          <w:rFonts w:ascii="Book Antiqua" w:hAnsi="Book Antiqua" w:cs="Arial"/>
          <w:sz w:val="24"/>
          <w:szCs w:val="24"/>
        </w:rPr>
        <w:t xml:space="preserve"> dan hal tersebut pasti berbeda diantara manusia, sesuai dengan kualitas hati dan pengalaman manusia.</w:t>
      </w:r>
      <w:r w:rsidR="00D72575" w:rsidRPr="0063725A">
        <w:rPr>
          <w:rStyle w:val="FootnoteReference"/>
          <w:rFonts w:ascii="Book Antiqua" w:hAnsi="Book Antiqua" w:cs="Arial"/>
          <w:sz w:val="24"/>
          <w:szCs w:val="24"/>
        </w:rPr>
        <w:footnoteReference w:id="17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hAnsi="Book Antiqua" w:cs="Arial"/>
          <w:sz w:val="24"/>
          <w:szCs w:val="24"/>
        </w:rPr>
        <w:t xml:space="preserve">Menurut Suhrawardi terdapat beberapa tahap yang harus dilakukan seseorang dalam melakukan olah batin. </w:t>
      </w:r>
      <w:r w:rsidRPr="0063725A">
        <w:rPr>
          <w:rFonts w:ascii="Book Antiqua" w:hAnsi="Book Antiqua" w:cs="Arial"/>
          <w:i/>
          <w:sz w:val="24"/>
          <w:szCs w:val="24"/>
        </w:rPr>
        <w:t>Pertama</w:t>
      </w:r>
      <w:r w:rsidRPr="0063725A">
        <w:rPr>
          <w:rFonts w:ascii="Book Antiqua" w:hAnsi="Book Antiqua" w:cs="Arial"/>
          <w:sz w:val="24"/>
          <w:szCs w:val="24"/>
        </w:rPr>
        <w:t xml:space="preserve">, tahap persiapan. Hal ini meliputi: </w:t>
      </w:r>
      <w:r w:rsidRPr="0063725A">
        <w:rPr>
          <w:rFonts w:ascii="Book Antiqua" w:hAnsi="Book Antiqua" w:cs="Arial"/>
          <w:i/>
          <w:sz w:val="24"/>
          <w:szCs w:val="24"/>
        </w:rPr>
        <w:t>taubat</w:t>
      </w:r>
      <w:r w:rsidRPr="0063725A">
        <w:rPr>
          <w:rFonts w:ascii="Book Antiqua" w:hAnsi="Book Antiqua" w:cs="Arial"/>
          <w:sz w:val="24"/>
          <w:szCs w:val="24"/>
        </w:rPr>
        <w:t xml:space="preserve"> (pembersihan dosa dengan meminta ampun kepada Tuhan), </w:t>
      </w:r>
      <w:r w:rsidRPr="0063725A">
        <w:rPr>
          <w:rFonts w:ascii="Book Antiqua" w:hAnsi="Book Antiqua" w:cs="Arial"/>
          <w:i/>
          <w:sz w:val="24"/>
          <w:szCs w:val="24"/>
        </w:rPr>
        <w:t>wara’</w:t>
      </w:r>
      <w:r w:rsidRPr="0063725A">
        <w:rPr>
          <w:rFonts w:ascii="Book Antiqua" w:hAnsi="Book Antiqua" w:cs="Arial"/>
          <w:sz w:val="24"/>
          <w:szCs w:val="24"/>
        </w:rPr>
        <w:t>(menjauhkan diri dari segala yang tidak jelas/</w:t>
      </w:r>
      <w:r w:rsidRPr="0063725A">
        <w:rPr>
          <w:rFonts w:ascii="Book Antiqua" w:hAnsi="Book Antiqua" w:cs="Arial"/>
          <w:i/>
          <w:sz w:val="24"/>
          <w:szCs w:val="24"/>
        </w:rPr>
        <w:t>subhat</w:t>
      </w:r>
      <w:r w:rsidRPr="0063725A">
        <w:rPr>
          <w:rFonts w:ascii="Book Antiqua" w:hAnsi="Book Antiqua" w:cs="Arial"/>
          <w:sz w:val="24"/>
          <w:szCs w:val="24"/>
        </w:rPr>
        <w:t xml:space="preserve">, </w:t>
      </w:r>
      <w:r w:rsidRPr="0063725A">
        <w:rPr>
          <w:rFonts w:ascii="Book Antiqua" w:hAnsi="Book Antiqua" w:cs="Arial"/>
          <w:i/>
          <w:sz w:val="24"/>
          <w:szCs w:val="24"/>
        </w:rPr>
        <w:t>zuhud</w:t>
      </w:r>
      <w:r w:rsidRPr="0063725A">
        <w:rPr>
          <w:rFonts w:ascii="Book Antiqua" w:hAnsi="Book Antiqua" w:cs="Arial"/>
          <w:sz w:val="24"/>
          <w:szCs w:val="24"/>
        </w:rPr>
        <w:t xml:space="preserve"> (tidak tamak dalam kehidupan dunia), fakir(mengosongkan kehidupan keduniawian dan hanya ada Tuhan dalam diri), sabar (menerima segala sesuatunya dengan iklhas karena </w:t>
      </w:r>
      <w:r w:rsidRPr="0063725A">
        <w:rPr>
          <w:rFonts w:ascii="Book Antiqua" w:hAnsi="Book Antiqua" w:cs="Arial"/>
          <w:sz w:val="24"/>
          <w:szCs w:val="24"/>
        </w:rPr>
        <w:lastRenderedPageBreak/>
        <w:t xml:space="preserve">Tuhan), </w:t>
      </w:r>
      <w:r w:rsidRPr="0063725A">
        <w:rPr>
          <w:rFonts w:ascii="Book Antiqua" w:hAnsi="Book Antiqua" w:cs="Arial"/>
          <w:i/>
          <w:sz w:val="24"/>
          <w:szCs w:val="24"/>
        </w:rPr>
        <w:t>tawakkal</w:t>
      </w:r>
      <w:r w:rsidRPr="0063725A">
        <w:rPr>
          <w:rFonts w:ascii="Book Antiqua" w:hAnsi="Book Antiqua" w:cs="Arial"/>
          <w:sz w:val="24"/>
          <w:szCs w:val="24"/>
        </w:rPr>
        <w:t xml:space="preserve"> (percaya pada ketentuan Tuhan yang terbaik), </w:t>
      </w:r>
      <w:r w:rsidRPr="0063725A">
        <w:rPr>
          <w:rFonts w:ascii="Book Antiqua" w:hAnsi="Book Antiqua" w:cs="Arial"/>
          <w:i/>
          <w:sz w:val="24"/>
          <w:szCs w:val="24"/>
        </w:rPr>
        <w:t>ridha</w:t>
      </w:r>
      <w:r w:rsidRPr="0063725A">
        <w:rPr>
          <w:rFonts w:ascii="Book Antiqua" w:hAnsi="Book Antiqua" w:cs="Arial"/>
          <w:sz w:val="24"/>
          <w:szCs w:val="24"/>
        </w:rPr>
        <w:t xml:space="preserve"> (hilangnya rasa ketidaksenangan dalam hati sehingga yang tersisa hanya gembira). </w:t>
      </w:r>
      <w:r w:rsidRPr="0063725A">
        <w:rPr>
          <w:rFonts w:ascii="Book Antiqua" w:hAnsi="Book Antiqua" w:cs="Arial"/>
          <w:i/>
          <w:sz w:val="24"/>
          <w:szCs w:val="24"/>
        </w:rPr>
        <w:t>Kedua</w:t>
      </w:r>
      <w:r w:rsidRPr="0063725A">
        <w:rPr>
          <w:rFonts w:ascii="Book Antiqua" w:hAnsi="Book Antiqua" w:cs="Arial"/>
          <w:sz w:val="24"/>
          <w:szCs w:val="24"/>
        </w:rPr>
        <w:t xml:space="preserve">, tahap penerimaan. Seseorang setelah berhasil mencapai tahap persiapan, maka akan mendapatkan limpahan pengetahuan langsung dari Tuhan secara </w:t>
      </w:r>
      <w:r w:rsidRPr="0063725A">
        <w:rPr>
          <w:rFonts w:ascii="Book Antiqua" w:hAnsi="Book Antiqua" w:cs="Arial"/>
          <w:i/>
          <w:sz w:val="24"/>
          <w:szCs w:val="24"/>
        </w:rPr>
        <w:t>iluminatif</w:t>
      </w:r>
      <w:r w:rsidRPr="0063725A">
        <w:rPr>
          <w:rFonts w:ascii="Book Antiqua" w:hAnsi="Book Antiqua" w:cs="Arial"/>
          <w:sz w:val="24"/>
          <w:szCs w:val="24"/>
        </w:rPr>
        <w:t xml:space="preserve">. Pada tahap ini seseorang akan mendapatkan realitas kesadaran diri yang demikian mutlak, sehingga seseorang mampu melihat realitas dirinya sendiri sebagai objek yang diketahui. Realitas kesadaran dan realitas yang disadari tersebut merupakan eksistensi yang sama, sehingga pada tahap ini menurut Mehdi Yazdi melahirkan ilmu </w:t>
      </w:r>
      <w:r w:rsidRPr="0063725A">
        <w:rPr>
          <w:rFonts w:ascii="Book Antiqua" w:hAnsi="Book Antiqua" w:cs="Arial"/>
          <w:i/>
          <w:sz w:val="24"/>
          <w:szCs w:val="24"/>
        </w:rPr>
        <w:t xml:space="preserve">huduri </w:t>
      </w:r>
      <w:r w:rsidRPr="0063725A">
        <w:rPr>
          <w:rFonts w:ascii="Book Antiqua" w:hAnsi="Book Antiqua" w:cs="Arial"/>
          <w:sz w:val="24"/>
          <w:szCs w:val="24"/>
        </w:rPr>
        <w:t xml:space="preserve">atau pengetahuan yang bersifat </w:t>
      </w:r>
      <w:r w:rsidRPr="0063725A">
        <w:rPr>
          <w:rFonts w:ascii="Book Antiqua" w:hAnsi="Book Antiqua" w:cs="Arial"/>
          <w:i/>
          <w:sz w:val="24"/>
          <w:szCs w:val="24"/>
        </w:rPr>
        <w:t>swaobjektif</w:t>
      </w:r>
      <w:r w:rsidRPr="0063725A">
        <w:rPr>
          <w:rFonts w:ascii="Book Antiqua" w:hAnsi="Book Antiqua" w:cs="Arial"/>
          <w:sz w:val="24"/>
          <w:szCs w:val="24"/>
        </w:rPr>
        <w:t xml:space="preserve"> (</w:t>
      </w:r>
      <w:r w:rsidRPr="0063725A">
        <w:rPr>
          <w:rFonts w:ascii="Book Antiqua" w:hAnsi="Book Antiqua" w:cs="Arial"/>
          <w:i/>
          <w:sz w:val="24"/>
          <w:szCs w:val="24"/>
        </w:rPr>
        <w:t>self-object-knowledge</w:t>
      </w:r>
      <w:r w:rsidRPr="0063725A">
        <w:rPr>
          <w:rFonts w:ascii="Book Antiqua" w:hAnsi="Book Antiqua" w:cs="Arial"/>
          <w:sz w:val="24"/>
          <w:szCs w:val="24"/>
        </w:rPr>
        <w:t xml:space="preserve">). </w:t>
      </w:r>
      <w:r w:rsidRPr="0063725A">
        <w:rPr>
          <w:rFonts w:ascii="Book Antiqua" w:hAnsi="Book Antiqua" w:cs="Arial"/>
          <w:i/>
          <w:sz w:val="24"/>
          <w:szCs w:val="24"/>
        </w:rPr>
        <w:t>Ketiga</w:t>
      </w:r>
      <w:r w:rsidRPr="0063725A">
        <w:rPr>
          <w:rFonts w:ascii="Book Antiqua" w:hAnsi="Book Antiqua" w:cs="Arial"/>
          <w:sz w:val="24"/>
          <w:szCs w:val="24"/>
        </w:rPr>
        <w:t xml:space="preserve">, tahap pengungkapan. Tahap ini merupakan tahap terakhir dari proses pencapaian pengetahuan intuisi hati nurani, dimana pengalaman mistik dapat diinterpretasikan dan diungkapkan kepada orang lain lewat ucapan atau tulisan. Pengetahuan </w:t>
      </w:r>
      <w:r w:rsidRPr="0063725A">
        <w:rPr>
          <w:rFonts w:ascii="Book Antiqua" w:hAnsi="Book Antiqua" w:cs="Arial"/>
          <w:i/>
          <w:sz w:val="24"/>
          <w:szCs w:val="24"/>
        </w:rPr>
        <w:t>irfani</w:t>
      </w:r>
      <w:r w:rsidRPr="0063725A">
        <w:rPr>
          <w:rFonts w:ascii="Book Antiqua" w:hAnsi="Book Antiqua" w:cs="Arial"/>
          <w:sz w:val="24"/>
          <w:szCs w:val="24"/>
        </w:rPr>
        <w:t>hati nurani ini bukan masuk dalam tatanan konsepsi dan representasi, tetapi terkait dengan kesatuan simpleks kehadiran Tuhan dalam diri, sehingga hasil dari pengetahuan intuisi hati nurani cenderung sulit dikomunikasikan, maka tidak semua pengalaman ini dapat diungkapkan.</w:t>
      </w:r>
      <w:r w:rsidRPr="0063725A">
        <w:rPr>
          <w:rStyle w:val="FootnoteReference"/>
          <w:rFonts w:ascii="Book Antiqua" w:hAnsi="Book Antiqua" w:cs="Arial"/>
          <w:sz w:val="24"/>
          <w:szCs w:val="24"/>
        </w:rPr>
        <w:footnoteReference w:id="180"/>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Validitas dan keabsahan kebenaran yang dihasilkan dari metode penalaran intuisi hati nurani sebenarnya tidak dapat diukur dan ditentukan secara nyata maupun secara pasti, karena hal ini terkait dengan sifat intersubjektif untuk melakukan olah batin. Akan tetapi untuk mengenali tanda-tanda kebenaran dari epistemologi yang dikembangkan dengan sarana penalaran hati nurani dapat </w:t>
      </w:r>
      <w:r w:rsidRPr="0063725A">
        <w:rPr>
          <w:rFonts w:ascii="Book Antiqua" w:hAnsi="Book Antiqua" w:cs="Arial"/>
          <w:sz w:val="24"/>
          <w:szCs w:val="24"/>
        </w:rPr>
        <w:lastRenderedPageBreak/>
        <w:t xml:space="preserve">dilakukan dengan menggunakan perasaan yang terdapat dalam benak batin manusia.Perasaan merupakan suatu proses penemuan kebenaran secara tetap, utuh dan menyeluruh dari suatu objek permasalahan yang dikaji, karena perasaan yang tidak berdasarkan metode penalaran tertentu seperti deduktif atau induktif. Perasaan dalam tahap intuisi merupakan suatu kegiatan bernalar non-analitik yang tidak mendasarkan pada pola sistem berpikir tertentu, tetapi dapat dilakukan berdasarkan nilai-nilai agama yang mampu membimbing manusia menuju jalan spiritual Ketuhanan. Dalam kehidupan manusia, khususnya pada belahan dunia timur perasaan memiliki peranan yang sangat penting, seperti perasaan bersalah, malu dan menyesal apabila seseorang telah melakukan perbuatan yang tidak baik. </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 xml:space="preserve">          Dalam epistemologi yang dikembangkan dengan sarana penalaran utama hati nurani, kaum s</w:t>
      </w:r>
      <w:r w:rsidRPr="0063725A">
        <w:rPr>
          <w:rFonts w:ascii="Book Antiqua" w:eastAsia="Times New Roman" w:hAnsi="Book Antiqua" w:cs="Arial"/>
          <w:sz w:val="24"/>
          <w:szCs w:val="24"/>
        </w:rPr>
        <w:t>ufi sering menggunakan istilah intuisi untuk memperoleh kebenaran dalam batin. Intuisi akan lahir dan muncul pada saat manusia membebaskan realitas empiris dan logika rasionalnya dari mekanisme cara kerja yang memiliki objek bersifat bendawi,</w:t>
      </w:r>
      <w:r w:rsidRPr="0063725A">
        <w:rPr>
          <w:rStyle w:val="FootnoteReference"/>
          <w:rFonts w:ascii="Book Antiqua" w:eastAsia="Times New Roman" w:hAnsi="Book Antiqua" w:cs="Arial"/>
          <w:sz w:val="24"/>
          <w:szCs w:val="24"/>
        </w:rPr>
        <w:footnoteReference w:id="181"/>
      </w:r>
      <w:r w:rsidRPr="0063725A">
        <w:rPr>
          <w:rFonts w:ascii="Book Antiqua" w:eastAsia="Times New Roman" w:hAnsi="Book Antiqua" w:cs="Arial"/>
          <w:sz w:val="24"/>
          <w:szCs w:val="24"/>
        </w:rPr>
        <w:t xml:space="preserve"> karena hubungan realitas bendawi dan ruhani dalam hal ini dapat dipahami dengan model mutasi benda ke dalam suatu energi, dimana cahaya (energi) adalah fungsi dan bisa muncul dari suatu benda fisik yang digerakkan hingga menyentuh partikel udara dengan kecepatan tertentu. Intuisi merupakan suatu bentuk kerja intelektualitas melalui suatu mekanisme penalaran yang disebut sebagai aktivitas ruhani. Dengan demikian, intuisi sebenarnya bukanlah metode penalaran yang tiba-tiba muncul tanpa kerja intelektual, akan tetapi intuisi merupakan hasil dari kerja intelektual itu sendiri secara mendalam. Intuisi dalam bahasa yang lain diartikan sebagai hasil evolusi secara kontinu dari suatu penalaran </w:t>
      </w:r>
      <w:r w:rsidRPr="0063725A">
        <w:rPr>
          <w:rFonts w:ascii="Book Antiqua" w:eastAsia="Times New Roman" w:hAnsi="Book Antiqua" w:cs="Arial"/>
          <w:sz w:val="24"/>
          <w:szCs w:val="24"/>
        </w:rPr>
        <w:lastRenderedPageBreak/>
        <w:t>manusia ketika menempatkan seluruh tingkat pengetahuan tentang realitas dan ide lebih rendah yang diperoleh sebelumnya dalam kesatuan sintetik baru.</w:t>
      </w:r>
      <w:r w:rsidRPr="0063725A">
        <w:rPr>
          <w:rStyle w:val="FootnoteReference"/>
          <w:rFonts w:ascii="Book Antiqua" w:eastAsia="Times New Roman" w:hAnsi="Book Antiqua" w:cs="Arial"/>
          <w:sz w:val="24"/>
          <w:szCs w:val="24"/>
        </w:rPr>
        <w:footnoteReference w:id="182"/>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Metode penalaran hati nurani tersebut apabila diuraikan lebih lanjut dapat dijelaskan dengan melalui teori quantum. Q</w:t>
      </w:r>
      <w:r w:rsidRPr="0063725A">
        <w:rPr>
          <w:rFonts w:ascii="Book Antiqua" w:hAnsi="Book Antiqua" w:cs="Arial"/>
          <w:sz w:val="24"/>
          <w:szCs w:val="24"/>
        </w:rPr>
        <w:t>uantum sebagai metode yang terkait dengan teori untuk menjelaskan realitas atom dapat membantu menjelaskan cara kerja hati nurani secara ilmiah dalam memperoleh pengetahuan. Hal ini seperti didasari oleh adanya paradoks-paradoks yang timbul dari aspek esensial fisika atom untuk menjelaskan suatu materi yang tidak cukup untuk dipikiran dan menggambarkannya secara fisik, karena tidak hanya bersifat intelektual, melainkan melibatkan pengalaman emosional dan eksistensial yang sangat kuat sebagaimana dikemukakan oleh Werner Heisenberg. Teori quantum merupakan wujud dari fisika baru (modern) pada zamannya yang berpengaruh besar pada perubahan-perubahan dalam konsep ruang, waktu, materi, objek dan sebab akibat.</w:t>
      </w:r>
      <w:r w:rsidRPr="0063725A">
        <w:rPr>
          <w:rStyle w:val="FootnoteReference"/>
          <w:rFonts w:ascii="Book Antiqua" w:hAnsi="Book Antiqua" w:cs="Arial"/>
          <w:sz w:val="24"/>
          <w:szCs w:val="24"/>
        </w:rPr>
        <w:footnoteReference w:id="183"/>
      </w:r>
      <w:r w:rsidRPr="0063725A">
        <w:rPr>
          <w:rFonts w:ascii="Book Antiqua" w:hAnsi="Book Antiqua" w:cs="Arial"/>
          <w:sz w:val="24"/>
          <w:szCs w:val="24"/>
        </w:rPr>
        <w:t>Teori quantum memiliki kesesuaian dengan hati nurani, karena merupakan sesuatu yang tidak berwujud materiil dan pada puncaknya berada di luar sifat intelektualitas.</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          Teori quantum menjelaskan, bahwa partikel-partikel subatom (elektron, proton dan neutron di dalam nukleus) bukan objek padat seperti digambarkan oleh fisika klasik. Hal ini seperti subtansi perasaan yang terdapat dalam hati nurani yang tidak berbentuk kebendaan secara fisik (materi) seperti halnya objek yang tertangkap oleh indera atau yang termasuk dalam konsep logika. Unit-unit materi sub atom tersebut merupakan entitas yang sangat abstrak yang memiliki aspek </w:t>
      </w:r>
      <w:r w:rsidRPr="0063725A">
        <w:rPr>
          <w:rFonts w:ascii="Book Antiqua" w:hAnsi="Book Antiqua" w:cs="Arial"/>
          <w:sz w:val="24"/>
          <w:szCs w:val="24"/>
        </w:rPr>
        <w:lastRenderedPageBreak/>
        <w:t>ganda (partikel dan gelombang) tergantung bagaimana manusia memandangnya.Sifat yang hampir sama dengan hati nurani, yaitu menyerupai partikel atau gelombang yang sulit untuk diprediksi, karena tergantung dari situasi eksperimental terkait dengan perlengkapan yang mendukung untuk digunakan berinteraksi. Hal ini menunjukkan bahwa elektron ataupun objek atom lainnya tidak memiliki sifat-sifat instrinsik, tetapi lebih tergantung pada lingkungannya. Dalam konteks yang sama hati nurani juga tidak menunjukkan bentuk dan mekanisme yang jelas, tetapi dipengaruhi oleh lingkungan manusia berada, bahkan perasaan seolah-olah hanya muncul ketika lingkungan mampu membangkitkan hati nurani. Heisenberg mengungkapkan, bahwa keterbatasan konsep klasik dalam memahami suatu bentuk matematis yang tepat disebut dengan prinsip ketidakpastian. Hati nurani juga memiliki sifat ketidakpastian, karena dapat terpengaruh secara tidak terduga oleh lingkungan. Dalam menggunakan istilah partikel, gelombang dan kecepatan untuk menggambarkan fenomena atom akan menemukan pasangan-pasangan aspek yang saling berhubungan dan tidak dapat diartikan secara bersama-sama dengan tepat (tidak pasti). Semakin kuat memberikan penekanan pada suatu aspek gambaran, maka semakin tidakpasti aspek yang lain dan hubungan yang tepat antara keduanya ditentukan oleh suatu prinsip ketidakpastian.</w:t>
      </w:r>
      <w:r w:rsidRPr="0063725A">
        <w:rPr>
          <w:rStyle w:val="FootnoteReference"/>
          <w:rFonts w:ascii="Book Antiqua" w:hAnsi="Book Antiqua" w:cs="Arial"/>
          <w:sz w:val="24"/>
          <w:szCs w:val="24"/>
        </w:rPr>
        <w:footnoteReference w:id="184"/>
      </w:r>
      <w:r w:rsidRPr="0063725A">
        <w:rPr>
          <w:rFonts w:ascii="Book Antiqua" w:hAnsi="Book Antiqua" w:cs="Arial"/>
          <w:sz w:val="24"/>
          <w:szCs w:val="24"/>
        </w:rPr>
        <w:t xml:space="preserve"> Hubungan yang timbul dari pengaruh interaksi lingkungan sehingga menghasilkan gelombang seperti dalam teori quantum memiliki prinsip yang sama dengan hati nurani. Dalam menjelaskan hati nurani di wilayah area dunia nyata, maka semakin kurang dan tidak memiliki nilai kepastiannya, karena keterhubungan dengan yang lain sangat erat.</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 xml:space="preserve">          Prinsip ketidakpastian dalam hati nurani seperti dijelaskan teori quantum terkait dengan materi yang tidak berada secara pasti ditempat yang pasti, tetapi lebih dalam pengertian menunjukkan tendensi berada dan peristiwa atom tidak akan terjadi secara pasti pada waktu yang pasti dengan cara yang pasti, melainkan lebih dalam pengertian menunjukkan tendensi terjadi. Manusia tidak dapat mengukur suatu peristiwa atom secara pasti, akan tetapi hanya mampu untuk meramalkankemungkinannya terjadinya. Tendensi-tendensi tersebut diungkapkan sebagai bentuk probabilitas yang dihubungkan dengan kuantitas yang berbentuk gelombang, sehingga tendensi-tendensi tersebut sama dengan bentuk matematis yang digunakan untuk menggambarkan gelombang probabilitas berupa kuantitas matematis abstrak. Oleh karena itu, peristiwa atom sama dengan hati nurani yang tidak dapat diramalkan secara pasti, tetapi hanya meramalkan kemungkinannya terjadinya. Pada tingkat subatom, objek materi padat (dalam fisika klasik) larut menjadi pola-pola probabilitas yang menyerupai gelombang. Pola-pola tersebut tidak mewakili probabilitas benda, tetapi mewakili probabilitas keterhubungannya. Dalam hal ini menunjukkan, bahwa partikel-partikel subatom sebagai hasil interaksi yang tidak mempunyai makna sebagai entitas terpisah. Pengertian ini seperti dikemukakan oleh Neils Bohr, bahwa patikel materi yang terpisah merupakan abstraksi, sifat-sifatnya dapat didefisinisikan dan diamati hanya melalui interaksinya dengan sistem yang lain.Hati nurani sendiri sulit untuk dijelaskan entitasnya, tetapi jika sudah terkait dengan adanya permasalahan yang mampu menggerakkan perasaan yang ada di dalamya maka hati nurani juga akan nampak secara bersamaan dan memiliki keterkaitan erat dengan aspek yang lain. Henry </w:t>
      </w:r>
      <w:r w:rsidRPr="0063725A">
        <w:rPr>
          <w:rFonts w:ascii="Book Antiqua" w:hAnsi="Book Antiqua" w:cs="Arial"/>
          <w:sz w:val="24"/>
          <w:szCs w:val="24"/>
        </w:rPr>
        <w:lastRenderedPageBreak/>
        <w:t>Stapp juga mengemukakan hal yang sama, bahwa partikel dasar bukanlah suatu entitas yang tidak bisa dianalisis yang berada secara bebas, melainkan merupakan seperangkat hubungan yang mencapai benda-benda lain di luar dirinya. Perubahan dari objek ke hubungan memiliki implikasi yang jauh dalam perkembangan ilmu pengetahuan. Gregory Bateson menyatakan, bahwa hubungan harus digunakan sebagai suatu dasar bagi semua difinisi. Segala sesuatu menurutnya harus didefisinisikan bukan oleh apa itu sebenarnya, tetapi oleh hubungannya dengan benda yang lain.</w:t>
      </w:r>
      <w:r w:rsidRPr="0063725A">
        <w:rPr>
          <w:rStyle w:val="FootnoteReference"/>
          <w:rFonts w:ascii="Book Antiqua" w:hAnsi="Book Antiqua" w:cs="Arial"/>
          <w:sz w:val="24"/>
          <w:szCs w:val="24"/>
        </w:rPr>
        <w:footnoteReference w:id="185"/>
      </w:r>
      <w:r w:rsidRPr="0063725A">
        <w:rPr>
          <w:rFonts w:ascii="Book Antiqua" w:hAnsi="Book Antiqua" w:cs="Arial"/>
          <w:sz w:val="24"/>
          <w:szCs w:val="24"/>
        </w:rPr>
        <w:t>Dengan demikian partikel subatom bukan benda, tetapi kesalinghubungan antar benda dan benda selanjutnya saling berhubungan dengan benda yang lain. Oleh karena itu, dalam teori quantum tidak pernah mengakhiri pembicaraan dengan kata benda, tetapi selalu berhadapan dengan kesalinghubungan. Hati nurani yang dipahami dengan teori quantum juga tidak dapat dipandang secara empiris dan terpisah, tetapi dampak yang timbul dapat dirasakan dari keterhubungan dengan fenomena yang lain.</w:t>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 xml:space="preserve">Keterhubungan dalam menjelaskan cara kerja hati nurani dengan melalui teori quantum bukan terletak pada variabel lokal yang diwakili oleh hubungan antara peristiwa-peristiwa yang terpisahsecara ruang melalui sinyal-sinyal yang tunduk pada hukum-hukum pemisahan ruang, akan tetapi hubungan nonlokal yang bersifat seketika dan tidak dapat diramalkan secara matematis dengan jelas dan tepat. Artinya dalam hal ini keterhubungan nonlokal yang dimaksud lebih besar pengaruhnya dalam menentukan teori quantum. Hubungan nonlokal ini merupakan esensi dari realitas quantum yang tidak dapat dijelaskan secara positif. Oleh karena itu, setiap peristiwa dalam teori quantum dan hati nurani dipengaruhi oleh </w:t>
      </w:r>
      <w:r w:rsidR="00D72575" w:rsidRPr="0063725A">
        <w:rPr>
          <w:rFonts w:ascii="Book Antiqua" w:hAnsi="Book Antiqua" w:cs="Arial"/>
          <w:sz w:val="24"/>
          <w:szCs w:val="24"/>
        </w:rPr>
        <w:lastRenderedPageBreak/>
        <w:t>lingkungan disekitarnya, meskipun tidak dapat menjelaskan pengaruh tersebut secara rinci, tetapi dapat mengenali adanya suatu tatanan yang dapat diungkapkan pengaruhnya.</w:t>
      </w:r>
    </w:p>
    <w:p w:rsidR="00D72575" w:rsidRPr="0063725A" w:rsidRDefault="006E1248"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Hati nurani dan teori quantum pada dasarnya memiliki dasar alasan penggunaan yang hampir sama, yaitu terdapat variabel-variabel yang tersembunyi yang tidak diketahui yang menghalangi dalam meramallkan secara tepat.Dalam hati nurani hal tersebut dapat menjadi entitas yang khas dengan sifat irasionalnya, sedangkan dalam teori quantum hal ini menjadi misteri logis dari ketidak mampuan logika manusia untuk menjelaskannya. Variabel tersebut merupakan hubungan-hubungan seketika dengan alam semesta secara keseluruhan. Dalam dunia makroskopik hubungan-hubungan nonlokal relatif kurang penting, karena dapat berbicara tentang objek-objek yang terpisah dengan hukum-hukum fisika dalam pengertian kepastian. Namun demikian, pada waktu sampai dimensi-dimensi yang lebih kecil, pengaruh hubungan nonlokal tersebut menjadi semakin kuat dan hukum-hukum fisika di sini dapat dirumuskan dalam pengertian probabilitas dan akan semakin sulit untuk memisahkan setiap bagian dari alam semesta dari keseluruhannya.</w:t>
      </w:r>
      <w:r w:rsidR="00D72575" w:rsidRPr="0063725A">
        <w:rPr>
          <w:rStyle w:val="FootnoteReference"/>
          <w:rFonts w:ascii="Book Antiqua" w:hAnsi="Book Antiqua" w:cs="Arial"/>
          <w:sz w:val="24"/>
          <w:szCs w:val="24"/>
        </w:rPr>
        <w:footnoteReference w:id="186"/>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Objek kajian hati nurani yang diibaratkan sebagai fenomena atom dalam teori quantum dapat dipahami hanya sebagai korelasi antar berbagai proses pengamatan dan pengukuran, yang mana akhir dari mata rantai proses ini selalu terletak pada kesadaran manusia, sehingga nilai subjektifitas pada dasarnya memiliki peran yang penting. Keserupaan metode hati nurani dengan teori quantum adalah bahwa pengamat tidak hanya penting untuk mengamati sifat suatu fenomena atom, tetapi </w:t>
      </w:r>
      <w:r w:rsidRPr="0063725A">
        <w:rPr>
          <w:rFonts w:ascii="Book Antiqua" w:hAnsi="Book Antiqua" w:cs="Arial"/>
          <w:sz w:val="24"/>
          <w:szCs w:val="24"/>
        </w:rPr>
        <w:lastRenderedPageBreak/>
        <w:t>lebih penting untuk menghasilkan sifat tersebut. Keputusan sadar peneliti tentang bagaimana mengamati suatu elektron pada tingkat tertentu akan menentukan sifat-sifat elektron tersebut, jika menanyakan kepada elektron dengan pertanyaan partikel, maka elektrom tersebut akan memberikan jawaban partikel dan jika menanyakan suatu pertanyaan gelombang, maka elektron tersebut juga akan memberikan jawaban gelombang. Elektron dan objek kajian hati nurani tidak memiliki sifat-sifat objektif yang tidak tergantung pada manusia. Manusia tidak pernah berbicara tentang suatu benda tanpa berbicara tentang diri manusia sendiri pada saat yang sama.Hati nurani yang dijelaskan dengan teori fisika modern quatum tidak hanya menentang pandangan objektif, tetapi juga mematahkan pemikiran tentang ilmu sebagai sesuatu yang bebas nilai. Pola-pola yang diamati oleh para ilmuan di alam raya ini pada hakikatnya juga terkait erat dengan nilai-nilai yang ada dalam pola pikir mereka, sehingga hasil ilmiah yang mereka peroleh akan diaplikasikan sesuai dengan kerangka pemiikiran mereka.</w:t>
      </w:r>
      <w:r w:rsidRPr="0063725A">
        <w:rPr>
          <w:rStyle w:val="FootnoteReference"/>
          <w:rFonts w:ascii="Book Antiqua" w:hAnsi="Book Antiqua" w:cs="Arial"/>
          <w:sz w:val="24"/>
          <w:szCs w:val="24"/>
        </w:rPr>
        <w:footnoteReference w:id="187"/>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color w:val="7F7F7F" w:themeColor="text1" w:themeTint="80"/>
          <w:sz w:val="24"/>
          <w:szCs w:val="24"/>
        </w:rPr>
        <w:tab/>
      </w:r>
      <w:r w:rsidRPr="0063725A">
        <w:rPr>
          <w:rFonts w:ascii="Book Antiqua" w:hAnsi="Book Antiqua" w:cs="Arial"/>
          <w:sz w:val="24"/>
          <w:szCs w:val="24"/>
        </w:rPr>
        <w:t xml:space="preserve">          Dalam menjelaskan hati nurani dengan teori quantum, maka juga tidak lepas dari teori relativitas yang telah mengajarkan pengetahuan yang hampir sama. Teori relatifitas telah menunjukkan bahwa pengertian-pengertian umum tentang realitas terbatas pada pengalaman dunia fisik biasa harus ditinggalkan setiap kali manusia ingin memperluas pengalaman tersebut. Teori relativitas Einstein telah menghasilkan suatu perubahan yang drastis dalam konsep ruang dan waktu yang memaksa manusia untuk meninggalkan konsep klasik tentang ruang absolut sebagai tahapan fenomena fisik dan dan waktu absolut sebagai suatu dimensi yang terpisah dari dimensi ruang.Menurut teori relativistik, ruang dan waktu merupakan </w:t>
      </w:r>
      <w:r w:rsidRPr="0063725A">
        <w:rPr>
          <w:rFonts w:ascii="Book Antiqua" w:hAnsi="Book Antiqua" w:cs="Arial"/>
          <w:sz w:val="24"/>
          <w:szCs w:val="24"/>
        </w:rPr>
        <w:lastRenderedPageBreak/>
        <w:t>konsep relatif yang direduksi menjadi peran subjektif elemen-elemen bahasa yang digunakan oleh pengamat untuk menggambarkan fenomena alam. Konsep ruang dan waktu begitu mendasar bagi gambaran tentang fenomena alam, sehingga modifikasi radikalnya dalam teori relativitas memerlukan suatu modifiaksi keseluruhan kerangka yang digunakan dalam fisika untuk menggambarkan alam semesta. Dunia fisik yang terbatas pada ruang dan waktu tidak cukup untuk memahami entitas hati nurani, sebagaimana dijelaskan dalam teori quantum. Oleh karena itu, diperlukan teori relativitas dalam memahami hati nurani dengan meninggalkan dimensi ruang dan waktu yang absolut.</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6E1248">
        <w:rPr>
          <w:rFonts w:ascii="Book Antiqua" w:hAnsi="Book Antiqua" w:cs="Arial"/>
          <w:sz w:val="24"/>
          <w:szCs w:val="24"/>
        </w:rPr>
        <w:t xml:space="preserve">          </w:t>
      </w:r>
      <w:r w:rsidRPr="0063725A">
        <w:rPr>
          <w:rFonts w:ascii="Book Antiqua" w:hAnsi="Book Antiqua" w:cs="Arial"/>
          <w:sz w:val="24"/>
          <w:szCs w:val="24"/>
        </w:rPr>
        <w:t>Konsekueansi paling penting dari konsep relativitas tersebut adalah kesadaran, bahwa massa itu tidak lain adalah suatu bentuk energi. Dalam objek yang diam sekalipun mempunyai energi yang tersimpan di dalam massa. Massa jika dipandang sebagai suatu bentuk energi, maka tidak lagi diperlukan agar tidak bisa hancur, tetapi dapat ditransformasikan menjadi bentuk energi yang lainnya. Hal ini terjadi terus-menerus dalam proses tabrakan fisika energi tinggi dimana partikel materi tercipta dan hancur, massa ditransformasikan menjadi energi gerak dan sebaliknya. Massa tidak lagi dipahami sebagai substansi materi, oleh karena itu partikel tidak dianggap sebagai terdiri atas bahan dasar, melainkan sebagai gumpalan energi. Energi dikaitkan dengan aktifitas dan proses, hal ini menunjukkan bahwa hakikat partikel subatom itu dinamis.</w:t>
      </w:r>
      <w:r w:rsidRPr="0063725A">
        <w:rPr>
          <w:rStyle w:val="FootnoteReference"/>
          <w:rFonts w:ascii="Book Antiqua" w:hAnsi="Book Antiqua" w:cs="Arial"/>
          <w:sz w:val="24"/>
          <w:szCs w:val="24"/>
        </w:rPr>
        <w:footnoteReference w:id="188"/>
      </w:r>
      <w:r w:rsidRPr="0063725A">
        <w:rPr>
          <w:rFonts w:ascii="Book Antiqua" w:hAnsi="Book Antiqua" w:cs="Arial"/>
          <w:sz w:val="24"/>
          <w:szCs w:val="24"/>
        </w:rPr>
        <w:t>Hati nurani meskipun tidak secara pasti dan nyata secara fisik, tetapi mengandung suatu energi yang dapat dirasakan untuk mempengaruhi aktifitas fisik.</w:t>
      </w:r>
    </w:p>
    <w:p w:rsidR="008258F9"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lastRenderedPageBreak/>
        <w:t xml:space="preserve">          Teori quantum telah berhasil menjelaskan bagaimana cara kerja hati nurani dengan menunjukkan bahwa partikel-partikel subatom atau dalam hal ini adalah suatu kajian terkait dengan entitas hati nurani yang tidak berbentuk secara fisik dan jugatidak bersifat jelas dan pasti serta bukanlah butir-butir materi yang terpisah, melainkan pola-pola probabilitas yang menunjukkan kesalingberhubungandalam suatu jaring-jaring kosmik yang tidak dapat dipisah-pisahkan yang mencakup manusia sebagai pengamat beserta kesadarnnya.Sedangkan teori relativitas telah menjelaskan hati nurani dalam membuat jaring-jaring kosmik menjadi hidup dengan mengungkapkan ciri dinamis intrinsiknya untuk menunjukkan bahwa aktivitasnya adalah merupakan suatu entitas keberadaanya, artinya hati nurani tidak dapat dipahami secara nyata dan pasti,karena selalu berubah dalam pergerakan guna menjalankan aktivitas keterhubungannya dengan fenomena yang lain dan itulah sebenarnya metode yang mampu untuk menunjukkan entitas keberadaan hati nurani dengan cara kerjanya.</w:t>
      </w: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3725A" w:rsidRDefault="0063725A" w:rsidP="00D72575">
      <w:pPr>
        <w:tabs>
          <w:tab w:val="right" w:leader="dot" w:pos="7938"/>
        </w:tabs>
        <w:spacing w:after="0" w:line="480" w:lineRule="auto"/>
        <w:jc w:val="both"/>
        <w:rPr>
          <w:rFonts w:ascii="Book Antiqua" w:hAnsi="Book Antiqua" w:cs="Arial"/>
          <w:sz w:val="24"/>
          <w:szCs w:val="24"/>
        </w:rPr>
      </w:pPr>
    </w:p>
    <w:p w:rsidR="006E1248" w:rsidRDefault="006E1248" w:rsidP="00D72575">
      <w:pPr>
        <w:tabs>
          <w:tab w:val="right" w:leader="dot" w:pos="7938"/>
        </w:tabs>
        <w:spacing w:after="0" w:line="480" w:lineRule="auto"/>
        <w:jc w:val="both"/>
        <w:rPr>
          <w:rFonts w:ascii="Book Antiqua" w:hAnsi="Book Antiqua" w:cs="Arial"/>
          <w:sz w:val="24"/>
          <w:szCs w:val="24"/>
        </w:rPr>
      </w:pPr>
    </w:p>
    <w:p w:rsidR="0063725A" w:rsidRPr="0063725A" w:rsidRDefault="0063725A" w:rsidP="00D72575">
      <w:pPr>
        <w:tabs>
          <w:tab w:val="right" w:leader="dot" w:pos="7938"/>
        </w:tabs>
        <w:spacing w:after="0" w:line="480" w:lineRule="auto"/>
        <w:jc w:val="both"/>
        <w:rPr>
          <w:rFonts w:ascii="Book Antiqua" w:hAnsi="Book Antiqua" w:cs="Arial"/>
          <w:sz w:val="24"/>
          <w:szCs w:val="24"/>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9 Nalar Intuisi Hukum</w:t>
      </w:r>
    </w:p>
    <w:p w:rsidR="0063725A" w:rsidRDefault="0063725A" w:rsidP="008258F9">
      <w:pPr>
        <w:spacing w:after="0" w:line="240" w:lineRule="auto"/>
        <w:jc w:val="center"/>
        <w:rPr>
          <w:rFonts w:ascii="Book Antiqua" w:hAnsi="Book Antiqua" w:cs="Times New Roman"/>
          <w:b/>
          <w:sz w:val="32"/>
          <w:szCs w:val="32"/>
        </w:rPr>
      </w:pP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Hati nurani merupakan salah satu sarana penalaran dalam mengembangkan epistemologi ilmu pengetahuan yang bersifat internal. Hati nurani, meskipun dalam ilmu pengetahuankurang dapat dijelaskan secara ilmiah, akan tetapi banyak permasalahan dalam kehidupan manusia yang dapat diselesaikan dengan cara menggunakan hati nurani. Zaman global dan modern telah mereduksi nilai-nilai kemanusiaan yang menyebabkan kekeringan batin dan pada akhirnya menyingkirkan peran hati nurani dalam menilai kebenaran. Permasalahan yang menjadi perdebatan akal dan indera sering menipu manusia untuk tergoda dengan keberpihakannya, tetapi hati nurani sebagai instrumen pengetahuan yang berasal dari perasaan intuisilebih bersifat netral tanpa ada tendensi kepentingan dalam menyikapi permasalahan. Kepekaan perasaan yang dihasilkan dari hati nurani tidak dapat diukur secara jelas dan pasti, artinya hati nurani memiliki daya kemampuan yang tidak terbatas sepertiakal dan indera. Hati nurani oleh beberapa tokoh sufi, seperti al-Ghazali disebut sebagai kemampuan tertinggi nalar manusia.</w:t>
      </w:r>
      <w:r w:rsidRPr="0063725A">
        <w:rPr>
          <w:rStyle w:val="FootnoteReference"/>
          <w:rFonts w:ascii="Book Antiqua" w:eastAsia="Times New Roman" w:hAnsi="Book Antiqua" w:cs="Arial"/>
          <w:sz w:val="24"/>
          <w:szCs w:val="24"/>
        </w:rPr>
        <w:footnoteReference w:id="189"/>
      </w:r>
      <w:r w:rsidRPr="0063725A">
        <w:rPr>
          <w:rFonts w:ascii="Book Antiqua" w:eastAsia="Times New Roman" w:hAnsi="Book Antiqua" w:cs="Arial"/>
          <w:sz w:val="24"/>
          <w:szCs w:val="24"/>
        </w:rPr>
        <w:t xml:space="preserve">Dalam dunia hukum yang terkait erat dengan berbagai permasalahan hidup manusia, tidak jarang bersinggungan dengan penilaian-penilaian yang melibatkan perasaan hati nurani. Hukum kodrat sebagai teori hukum tertua menggunakan sarana penalaran hati nurani dalam mengembangkan epistemologinya, meskipun juga menggunakan akal, moral dan hukum Tuhan. Dalam menggunakan sarana penalaran hati nurani diperlukanmetode khusus yang lebih dari sekedar inferensi untuk menjelaskan cara </w:t>
      </w:r>
      <w:r w:rsidRPr="0063725A">
        <w:rPr>
          <w:rFonts w:ascii="Book Antiqua" w:eastAsia="Times New Roman" w:hAnsi="Book Antiqua" w:cs="Arial"/>
          <w:sz w:val="24"/>
          <w:szCs w:val="24"/>
        </w:rPr>
        <w:lastRenderedPageBreak/>
        <w:t>kerjanya, agar kebenaran yang dihasilkan dapat diterima dan  dipertanggungjawabkan.</w:t>
      </w:r>
    </w:p>
    <w:p w:rsidR="00D72575" w:rsidRPr="0063725A" w:rsidRDefault="00D72575" w:rsidP="00D72575">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 xml:space="preserve">a. </w:t>
      </w:r>
      <w:r w:rsidR="006E1248">
        <w:rPr>
          <w:rFonts w:ascii="Book Antiqua" w:eastAsia="Times New Roman" w:hAnsi="Book Antiqua" w:cs="Arial"/>
          <w:b/>
          <w:sz w:val="24"/>
          <w:szCs w:val="24"/>
        </w:rPr>
        <w:t xml:space="preserve">Objek epistemologi ilmu hukum </w:t>
      </w:r>
      <w:r w:rsidRPr="0063725A">
        <w:rPr>
          <w:rFonts w:ascii="Book Antiqua" w:eastAsia="Times New Roman" w:hAnsi="Book Antiqua" w:cs="Arial"/>
          <w:b/>
          <w:sz w:val="24"/>
          <w:szCs w:val="24"/>
        </w:rPr>
        <w:t>dikembangkan sarana penalaran hati nurani</w:t>
      </w:r>
    </w:p>
    <w:p w:rsidR="00D72575" w:rsidRPr="0063725A" w:rsidRDefault="00D72575" w:rsidP="00D72575">
      <w:pPr>
        <w:spacing w:after="0" w:line="480" w:lineRule="auto"/>
        <w:ind w:firstLine="720"/>
        <w:jc w:val="both"/>
        <w:rPr>
          <w:rFonts w:ascii="Book Antiqua" w:eastAsia="Times New Roman" w:hAnsi="Book Antiqua" w:cs="Arial"/>
          <w:sz w:val="24"/>
          <w:szCs w:val="24"/>
        </w:rPr>
      </w:pPr>
      <w:r w:rsidRPr="0063725A">
        <w:rPr>
          <w:rFonts w:ascii="Book Antiqua" w:eastAsia="Times New Roman" w:hAnsi="Book Antiqua" w:cs="Arial"/>
          <w:sz w:val="24"/>
          <w:szCs w:val="24"/>
        </w:rPr>
        <w:t>Hati nurani berdasarkan kedudukan dan fungsinya memiliki objek epistemologi ilmu hukum berupa segala permasalahan hukum yang masuk dalam ranah perasaan batin. Segala permasalahan hukum yang telah menyinggung perasaan batin dalam melakukan penilaian justifikasi menjadi objek epistemologi ilmu hukum yang dikembangkan dengan sarana penalaran hati nurani. Objek hukum seperti ini biasanya akan muncul secara tidak disengaja maupun disengaja ketika manusia dihadapkan pada suatu permasalahan hukum. Oleh karena itu, objek epistemologi ilmu hukum yang dikembangkan dengan sarana penalaran indera ataupun akal dapat bergesermasuk ke dalam perasaan batin menjadi objek epistemologi ilmu hukum yang dikembangkan dengan sarana penalaran hati nurani. Fenomena perkembangan kehidupan masyarakat yang sangat keras dan penuh dengan persaingan serta konflik untuk menjadi yang paling unggul dapat menimbulkan permasalahan hukum yang bukan hanya melangggar paraturan perundang-undangan dan kebiasaan atau budaya dalam masyarakat, tetapi telah melukai perasaan hati nurani manusia, seperti kasus ketidakadilan, pelanggaran hak asasi manusia dan berbagai tindakan manusia yang semakin bertentangan dengan nilai-nilai dasar kehidupan manusia.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Epistemologi ilmu hukum yang dikembangkan dengan sarana penalaran hati nurani, seperti telah disinggung dalam kerangka teori di atas memiliki kecenderungan dengan hukum kodrat. Dasar yang menjadi alasan digunakannya </w:t>
      </w:r>
      <w:r w:rsidRPr="0063725A">
        <w:rPr>
          <w:rFonts w:ascii="Book Antiqua" w:eastAsia="Times New Roman" w:hAnsi="Book Antiqua" w:cs="Arial"/>
          <w:sz w:val="24"/>
          <w:szCs w:val="24"/>
        </w:rPr>
        <w:lastRenderedPageBreak/>
        <w:t>teori hukum kodrat adalah bahwa secara filosofis hukum kodrat memiliki aspek ontologi hukum yang berupa hukum dalam pemahaman ruang lingkup yang terdapat dalam perasaan hati nurani, bukan hukum dalam arti realitas empiris dalam tradisi kebiasaan masyarakat dan bukan pula hukum dalam sistem norma hukum positif peraturan perundang-undangan. Secara epistemologi sering diwujudkan dalam bentuk metode penalaran yang digunakan hukum kodrat tidak terjangkau oleh metode penalaran rasional akal dan empirisme inderawi, sehingga lebih memiliki kedekatan dengan penalaran irasional dalam bentuk intuisi hati nurani. Kemanfaatan hati nurani sebagai sarana penalaran untuk mengembankan epistemologi ilmu hukum telah banyak dirasakanmanusia, meskipun masih sulit untuk dibuktikan secara ilmiah terhadapnya. Permasalahan hukum yang sulit dipecahkan dalam ranah empiris dan logika rasioanl hukumdapat diselami dengan penalaran hati nurani, karena hati nurani dapat merasakan objek secara langsung, utuh dan menyeluruh.</w:t>
      </w:r>
      <w:r w:rsidRPr="0063725A">
        <w:rPr>
          <w:rStyle w:val="FootnoteReference"/>
          <w:rFonts w:ascii="Book Antiqua" w:eastAsia="Times New Roman" w:hAnsi="Book Antiqua" w:cs="Arial"/>
          <w:sz w:val="24"/>
          <w:szCs w:val="24"/>
        </w:rPr>
        <w:footnoteReference w:id="190"/>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Hukum kodrat sebagaimana telah dijelaskan di depan merupakan teori hukum yang paling tua kehadirannya, sehingga dalam perkembangannyatelah menjadi beberapa konsep, termasuk kajian tentang hati nurani dalam hukum. Hukum kodrat ditangkap dalam berbagai arti berbeda sesuai dengan konteks yang melingkupinya, sehingga pengertian hukum kodrat menjadi beragam dan bervariatif. Dari pemahaman hukum kodrat yang beranekaragam tersebut sebenarnya dapat ditarik beberapa garis utama dari apa yang dipahami sebagai hukum, yang salah satu diantaranya adalah hukum sebagai perasaan yang timbul dari dalam hati nurani manusia. Keberadaan hati nuranidalam hukum kodrat </w:t>
      </w:r>
      <w:r w:rsidRPr="0063725A">
        <w:rPr>
          <w:rFonts w:ascii="Book Antiqua" w:eastAsia="Times New Roman" w:hAnsi="Book Antiqua" w:cs="Arial"/>
          <w:sz w:val="24"/>
          <w:szCs w:val="24"/>
        </w:rPr>
        <w:lastRenderedPageBreak/>
        <w:t>menjadi sebuah catatan tersendiri yang tidak dapat dikesampingkan begitu saja dalam memahami hukum, bahkan dalam era postmodern, hati nuranikembali ditempatkan pada posisi yang penting dan strategis untuk menggugah kembali kehidupan manusia yang terasa kering akibat pola pikir dan cara pandang yang mekanistik.Seperti dikemukakan Muhammad Iqbal dalam Danusiri, Indera dan akal cenderung memahami objek materiil (lahir) dalam hubungan kuantitatif, sedangkan intuisi hati nurani dapat menuntun pada kehidupan imateriil (batin).</w:t>
      </w:r>
      <w:r w:rsidRPr="0063725A">
        <w:rPr>
          <w:rStyle w:val="FootnoteReference"/>
          <w:rFonts w:ascii="Book Antiqua" w:eastAsia="Times New Roman" w:hAnsi="Book Antiqua" w:cs="Arial"/>
          <w:sz w:val="24"/>
          <w:szCs w:val="24"/>
        </w:rPr>
        <w:footnoteReference w:id="191"/>
      </w:r>
      <w:r w:rsidRPr="0063725A">
        <w:rPr>
          <w:rFonts w:ascii="Book Antiqua" w:eastAsia="Times New Roman" w:hAnsi="Book Antiqua" w:cs="Arial"/>
          <w:sz w:val="24"/>
          <w:szCs w:val="24"/>
        </w:rPr>
        <w:t xml:space="preserve"> Dalam mencapai kehidupan batin, menurut al-Ghazali, sesorang harus menjalani hidup sufi dengan melakukan beberapa tahap, yaitu: tobat</w:t>
      </w:r>
      <w:r w:rsidRPr="0063725A">
        <w:rPr>
          <w:rFonts w:ascii="Book Antiqua" w:eastAsia="Times New Roman" w:hAnsi="Book Antiqua" w:cs="Arial"/>
          <w:i/>
          <w:sz w:val="24"/>
          <w:szCs w:val="24"/>
        </w:rPr>
        <w:t xml:space="preserve">, sabar, fakir, zuhud, tawakal </w:t>
      </w:r>
      <w:r w:rsidRPr="0063725A">
        <w:rPr>
          <w:rFonts w:ascii="Book Antiqua" w:eastAsia="Times New Roman" w:hAnsi="Book Antiqua" w:cs="Arial"/>
          <w:sz w:val="24"/>
          <w:szCs w:val="24"/>
        </w:rPr>
        <w:t>dan</w:t>
      </w:r>
      <w:r w:rsidRPr="0063725A">
        <w:rPr>
          <w:rFonts w:ascii="Book Antiqua" w:eastAsia="Times New Roman" w:hAnsi="Book Antiqua" w:cs="Arial"/>
          <w:i/>
          <w:sz w:val="24"/>
          <w:szCs w:val="24"/>
        </w:rPr>
        <w:t xml:space="preserve"> ma’rifat.</w:t>
      </w:r>
      <w:r w:rsidRPr="0063725A">
        <w:rPr>
          <w:rFonts w:ascii="Book Antiqua" w:eastAsia="Times New Roman" w:hAnsi="Book Antiqua" w:cs="Arial"/>
          <w:sz w:val="24"/>
          <w:szCs w:val="24"/>
        </w:rPr>
        <w:t xml:space="preserve"> Dengan begitu sesorang memiliki kedekatan batin kepada Tuhan, sehingga mendapat limpahan pengetahuan hakiki dari Tuhan.</w:t>
      </w:r>
      <w:r w:rsidRPr="0063725A">
        <w:rPr>
          <w:rStyle w:val="FootnoteReference"/>
          <w:rFonts w:ascii="Book Antiqua" w:eastAsia="Times New Roman" w:hAnsi="Book Antiqua" w:cs="Times New Roman"/>
          <w:sz w:val="24"/>
          <w:szCs w:val="24"/>
          <w:lang w:eastAsia="en-GB"/>
        </w:rPr>
        <w:footnoteReference w:id="192"/>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Permasalahan hukum yang masuk ke dalam perasaanyang terdapat dalam hati nurani sebagai objek epistemologi ilmu hukum dapat dilihat dari pandangan hukum kodrat. Memahami hukum sebagai perasaan hati nurani tidak mungkin dapat dipisahkan dari hukum selama hukum diperuntukkan pada manusia, karena hanya manusia saja yang memiliki nalar hati nurani untuk merasakan sesuatu yang terdapat dalam benak. Hal ini sesuai dengan dasar penciptaan manusia oleh Tuhan yang dianugerahi hati nurani untuk mampu merasakan pengetahuan yang tetap, utuh dan menyeluruh. Hati nurani dalam hubungannya dengan Tuhan menjadi sarana penalaran epistemologi yang memiliki kedekatan dengan dimensi kehidupan spiritual Ketuhanan. Perasaan hati nurani yang terdapat dalam hukumitulah yang menyebabkan hukum kodrat selalu tampil memenuhi kebutuhan zaman manakala </w:t>
      </w:r>
      <w:r w:rsidRPr="0063725A">
        <w:rPr>
          <w:rFonts w:ascii="Book Antiqua" w:eastAsia="Times New Roman" w:hAnsi="Book Antiqua" w:cs="Arial"/>
          <w:sz w:val="24"/>
          <w:szCs w:val="24"/>
        </w:rPr>
        <w:lastRenderedPageBreak/>
        <w:t>tatanan kehidupan manusia membutuhkan pertimbangan batin, bahwa dapat dikatakan keberadaan perasaan hati nurani dalam hukum oleh manusia merupakan prinsip terpenting yang tidak pernah hilang. Hukum kodrat yang bersifat irasional dalam memahami hukum sebagai suatu keharusan internal yang bersifat batiniah dari dalam dari manusia.</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6E1248">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Dalam memahami objek epistemologi ilmu hukum yang dikembangkan dengan sarana penalaran hati nurani dapat dirasakan dari adanya perasaan yang berasal dari dalam benak batin diri pribadi manusia. Perasaan hukum tersebut merupakan kesadaran pribadi manusia akan adanya sesuatu kebaikan yang harus diikuti sebagai bentuk dari kehendak batin yang diyakini sebagai hal yang baik. Seseorangmematuhi hukum bukan karena takut pada sanksi undang-undang atau takut dikucilkan dari pergaulan masyarakat, akan tetapi sebagai dorongan perasaan internal batiniah dari kesadaran pribadi. Benar menurut realitas empiris hukum dan sistem norma hukum positif belum tentu benar menurut hati nurani, karena kebenaranbersifat lahiriah yang belum tentu sampai menyentuh pada tataran batin. Sifat lahiriah dapat saja karena terpaksa atau berpura-pura, padahal sebenarnya tidak demikian. Kebenaran hati nurani akan muncul jika nilai-nilai yang diyakini kebaikannya dapat menyentuh perasaan yang berasal dari dalam batin. Menurut A. Reinach, intuisi berjalan di atas suara hati nurani manusia, sedangkan hukum dalam arti peraturan perundang-undangan berjalan atas dasar suatu bentuk peraturan perundang-undangan. Hak dan kewajibanbatin dari seseorang tidak akan pernah hilang dan tidak dapat pindah kepada orang lain, sedangkan hak dan kewajibanhukum dapat hilang dan berpindah tangan kepada orang lain sesuai </w:t>
      </w:r>
      <w:r w:rsidRPr="0063725A">
        <w:rPr>
          <w:rFonts w:ascii="Book Antiqua" w:eastAsia="Times New Roman" w:hAnsi="Book Antiqua" w:cs="Arial"/>
          <w:sz w:val="24"/>
          <w:szCs w:val="24"/>
        </w:rPr>
        <w:lastRenderedPageBreak/>
        <w:t>dengan ketentuan yang berlaku. Hati nurani mengatur kehidupan yang terdapat dalam benak batin, sedangkan hukum mengatur kehidupan lahir sebagai suatu tindakan yang telah dilakukan (</w:t>
      </w:r>
      <w:r w:rsidRPr="0063725A">
        <w:rPr>
          <w:rFonts w:ascii="Book Antiqua" w:eastAsia="Times New Roman" w:hAnsi="Book Antiqua" w:cs="Arial"/>
          <w:i/>
          <w:sz w:val="24"/>
          <w:szCs w:val="24"/>
        </w:rPr>
        <w:t>de internis praetor non indican</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193"/>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Perasaan hukum dalam hati nurani sebagai objek kajian epistemologi ilmu hukum tidak hanya berhenti pada memahami hukum dari tradisi kebiasaan hukum di masyarakat dan hukum dalam sistem norma positifperaturan perundang-undangan, tetapi berlanjut dengan merasakan objek hukum tersebut dengan perasaan hati nurani. Oleh karena itu, jika mengkaji hukum dengan hati nurani tentang suatu kasus pencurian, maka tidak cukup hanya dengan melihat bukti empiris hukum yang berupa tindakan mencuri yang dilakukan seseorang dan juga tidak cukup dengan memahami peraturan perundang-undangan, tetapi lebih jauh dari itu, bahwa kasus pencurian akan dinilai dengan perasaan secara langsung seolah-olah pengkaji hukum (hakim) mengalami kasus pencurian tersebut, sehingga dengan itu akan diperoleh kebenaran yang tetap, utuh dan meyeluruh dari kasus pencurian tersebut. Hal tersebut terkait dengan perihal apakah yang menjadi alasan atau motif seseorang mencuri, karena sebab lapar atau tidak sengaja mengambil beberapa bagian sedikit saja dari suatu benda yang tidak bernilai ekonomis apapun. Dengan demikian terhadap realitas fakta kasus pencurian dan ketentuan dalam peraturan perundang-undangan yang menjadi objek hukum akan dipahami secara intersubjektif guna untuk membantu hakim dalam menemukan kebenaran terdalam dari benak batinnya. Cara kerja intuisi tersebut telah meneguhkan karakter yang khas dari penalaran hati nurani terhadap hukum.</w:t>
      </w:r>
    </w:p>
    <w:p w:rsidR="00D72575" w:rsidRPr="0063725A" w:rsidRDefault="00D72575" w:rsidP="00D72575">
      <w:pPr>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lastRenderedPageBreak/>
        <w:t>Skema objek kajian epistemologi ilmu hukum yang dikembangkan dengan saranan penalaran hati nuranidapat digambarkan sebagai berikut:</w:t>
      </w:r>
    </w:p>
    <w:p w:rsidR="00D72575" w:rsidRPr="0063725A" w:rsidRDefault="00D521E1" w:rsidP="00D72575">
      <w:pPr>
        <w:tabs>
          <w:tab w:val="right" w:leader="dot" w:pos="7938"/>
        </w:tabs>
        <w:spacing w:after="0" w:line="360" w:lineRule="auto"/>
        <w:jc w:val="both"/>
        <w:rPr>
          <w:rFonts w:ascii="Book Antiqua" w:eastAsia="Times New Roman" w:hAnsi="Book Antiqua" w:cs="Arial"/>
        </w:rPr>
      </w:pPr>
      <w:r w:rsidRPr="00D521E1">
        <w:rPr>
          <w:rFonts w:ascii="Book Antiqua" w:eastAsiaTheme="minorHAnsi" w:hAnsi="Book Antiqua" w:cs="Arial"/>
          <w:b/>
          <w:noProof/>
          <w:lang w:val="en-GB" w:eastAsia="en-GB"/>
        </w:rPr>
        <w:pict>
          <v:shape id="Straight Arrow Connector 150" o:spid="_x0000_s1034" type="#_x0000_t32" style="position:absolute;left:0;text-align:left;margin-left:282.45pt;margin-top:11.05pt;width:30.75pt;height: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" strokecolor="windowText">
            <v:stroke endarrow="open"/>
          </v:shape>
        </w:pict>
      </w:r>
      <w:r w:rsidRPr="00D521E1">
        <w:rPr>
          <w:rFonts w:ascii="Book Antiqua" w:eastAsiaTheme="minorHAnsi" w:hAnsi="Book Antiqua" w:cs="Arial"/>
          <w:b/>
          <w:noProof/>
          <w:lang w:val="en-GB" w:eastAsia="en-GB"/>
        </w:rPr>
        <w:pict>
          <v:line id="Straight Connector 151" o:spid="_x0000_s1032" style="position:absolute;left:0;text-align:left;z-index:251666432;visibility:visible" from="121.95pt,11.05pt" to="159.4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" strokecolor="windowText"/>
        </w:pict>
      </w:r>
      <w:r w:rsidRPr="00D521E1">
        <w:rPr>
          <w:rFonts w:ascii="Book Antiqua" w:eastAsiaTheme="minorHAnsi" w:hAnsi="Book Antiqua" w:cs="Arial"/>
          <w:b/>
          <w:noProof/>
          <w:lang w:val="en-GB" w:eastAsia="en-GB"/>
        </w:rPr>
        <w:pict>
          <v:shape id="Text Box 152" o:spid="_x0000_s1029" type="#_x0000_t202" style="position:absolute;left:0;text-align:left;margin-left:159.45pt;margin-top:3.55pt;width:123pt;height:3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" fillcolor="window" strokeweight=".5pt">
            <v:textbox>
              <w:txbxContent>
                <w:p w:rsidR="004E75CF" w:rsidRPr="004B71CD" w:rsidRDefault="004E75CF" w:rsidP="00AB0F50">
                  <w:pPr>
                    <w:spacing w:after="0" w:line="240" w:lineRule="auto"/>
                    <w:jc w:val="center"/>
                    <w:rPr>
                      <w:rFonts w:ascii="Arial" w:hAnsi="Arial" w:cs="Arial"/>
                      <w:sz w:val="18"/>
                      <w:szCs w:val="18"/>
                    </w:rPr>
                  </w:pPr>
                  <w:r>
                    <w:rPr>
                      <w:rFonts w:ascii="Book Antiqua" w:hAnsi="Book Antiqua"/>
                      <w:color w:val="000000" w:themeColor="text1"/>
                      <w:sz w:val="18"/>
                      <w:szCs w:val="18"/>
                    </w:rPr>
                    <w:t xml:space="preserve">Relasi Peraturan per UU </w:t>
                  </w:r>
                  <w:r w:rsidRPr="00AB0F50">
                    <w:rPr>
                      <w:rFonts w:ascii="Book Antiqua" w:hAnsi="Book Antiqua"/>
                      <w:color w:val="000000" w:themeColor="text1"/>
                      <w:sz w:val="18"/>
                      <w:szCs w:val="18"/>
                    </w:rPr>
                    <w:t>dengan</w:t>
                  </w:r>
                  <w:r>
                    <w:rPr>
                      <w:rFonts w:ascii="Book Antiqua" w:hAnsi="Book Antiqua"/>
                      <w:color w:val="000000" w:themeColor="text1"/>
                      <w:sz w:val="18"/>
                      <w:szCs w:val="18"/>
                    </w:rPr>
                    <w:t xml:space="preserve"> </w:t>
                  </w:r>
                  <w:r w:rsidRPr="00AB0F50">
                    <w:rPr>
                      <w:rFonts w:ascii="Book Antiqua" w:hAnsi="Book Antiqua"/>
                      <w:color w:val="000000" w:themeColor="text1"/>
                      <w:sz w:val="18"/>
                      <w:szCs w:val="18"/>
                    </w:rPr>
                    <w:t>hukum</w:t>
                  </w:r>
                  <w:r w:rsidRPr="00AB0F50">
                    <w:rPr>
                      <w:rFonts w:ascii="Book Antiqua" w:hAnsi="Book Antiqua" w:cs="Arial"/>
                      <w:sz w:val="18"/>
                      <w:szCs w:val="18"/>
                    </w:rPr>
                    <w:t xml:space="preserve"> UU</w:t>
                  </w:r>
                  <w:r>
                    <w:rPr>
                      <w:rFonts w:ascii="Arial" w:hAnsi="Arial" w:cs="Arial"/>
                      <w:sz w:val="18"/>
                      <w:szCs w:val="18"/>
                    </w:rPr>
                    <w:t xml:space="preserve"> </w:t>
                  </w:r>
                  <w:r w:rsidRPr="004B71CD">
                    <w:rPr>
                      <w:rFonts w:ascii="Arial" w:hAnsi="Arial" w:cs="Arial"/>
                      <w:sz w:val="18"/>
                      <w:szCs w:val="18"/>
                    </w:rPr>
                    <w:t>denganrealitas hukum</w:t>
                  </w:r>
                </w:p>
              </w:txbxContent>
            </v:textbox>
          </v:shape>
        </w:pict>
      </w:r>
      <w:r w:rsidRPr="00D521E1">
        <w:rPr>
          <w:rFonts w:ascii="Book Antiqua" w:eastAsia="Times New Roman" w:hAnsi="Book Antiqua" w:cs="Arial"/>
          <w:noProof/>
          <w:lang w:val="en-GB" w:eastAsia="en-GB"/>
        </w:rPr>
        <w:pict>
          <v:shape id="Text Box 153" o:spid="_x0000_s1028" type="#_x0000_t202" style="position:absolute;left:0;text-align:left;margin-left:316.95pt;margin-top:3.55pt;width:118.5pt;height:34.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" fillcolor="window" strokeweight=".5pt">
            <v:textbox>
              <w:txbxContent>
                <w:p w:rsidR="004E75CF" w:rsidRPr="005B2FC8" w:rsidRDefault="004E75CF" w:rsidP="005B2FC8">
                  <w:pPr>
                    <w:pStyle w:val="Default"/>
                    <w:jc w:val="center"/>
                    <w:rPr>
                      <w:rFonts w:ascii="Book Antiqua" w:eastAsiaTheme="minorEastAsia" w:hAnsi="Book Antiqua" w:cs="Arial"/>
                      <w:sz w:val="20"/>
                      <w:szCs w:val="20"/>
                      <w:lang w:val="id-ID" w:eastAsia="id-ID"/>
                    </w:rPr>
                  </w:pPr>
                  <w:r w:rsidRPr="005B2FC8">
                    <w:rPr>
                      <w:rFonts w:ascii="Book Antiqua" w:eastAsiaTheme="minorEastAsia" w:hAnsi="Book Antiqua" w:cs="Arial"/>
                      <w:sz w:val="20"/>
                      <w:szCs w:val="20"/>
                      <w:lang w:val="id-ID" w:eastAsia="id-ID"/>
                    </w:rPr>
                    <w:t xml:space="preserve">Realitas hukum </w:t>
                  </w:r>
                  <w:r w:rsidRPr="005B2FC8">
                    <w:rPr>
                      <w:rFonts w:ascii="Book Antiqua" w:hAnsi="Book Antiqua" w:cs="Arial"/>
                      <w:sz w:val="20"/>
                      <w:szCs w:val="20"/>
                    </w:rPr>
                    <w:t>di masyarakat</w:t>
                  </w:r>
                </w:p>
              </w:txbxContent>
            </v:textbox>
          </v:shape>
        </w:pict>
      </w:r>
      <w:r w:rsidRPr="00D521E1">
        <w:rPr>
          <w:rFonts w:ascii="Book Antiqua" w:eastAsia="Times New Roman" w:hAnsi="Book Antiqua" w:cs="Arial"/>
          <w:noProof/>
          <w:lang w:val="en-GB" w:eastAsia="en-GB"/>
        </w:rPr>
        <w:pict>
          <v:shape id="Text Box 154" o:spid="_x0000_s1027" type="#_x0000_t202" style="position:absolute;left:0;text-align:left;margin-left:3.45pt;margin-top:2.75pt;width:118.5pt;height:35.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" fillcolor="window" strokeweight=".5pt">
            <v:textbox>
              <w:txbxContent>
                <w:p w:rsidR="004E75CF" w:rsidRPr="00AB0F50" w:rsidRDefault="004E75CF" w:rsidP="00D72575">
                  <w:pPr>
                    <w:spacing w:after="0" w:line="240" w:lineRule="auto"/>
                    <w:jc w:val="center"/>
                    <w:rPr>
                      <w:rFonts w:ascii="Book Antiqua" w:hAnsi="Book Antiqua" w:cs="Arial"/>
                      <w:color w:val="000000" w:themeColor="text1"/>
                      <w:sz w:val="20"/>
                      <w:szCs w:val="20"/>
                    </w:rPr>
                  </w:pPr>
                  <w:r w:rsidRPr="00AB0F50">
                    <w:rPr>
                      <w:rFonts w:ascii="Book Antiqua" w:hAnsi="Book Antiqua" w:cs="Arial"/>
                      <w:color w:val="000000" w:themeColor="text1"/>
                      <w:sz w:val="20"/>
                      <w:szCs w:val="20"/>
                    </w:rPr>
                    <w:t>Peratur</w:t>
                  </w:r>
                  <w:r w:rsidRPr="00AB0F50">
                    <w:rPr>
                      <w:rFonts w:ascii="Book Antiqua" w:hAnsi="Book Antiqua"/>
                      <w:color w:val="000000" w:themeColor="text1"/>
                      <w:sz w:val="20"/>
                      <w:szCs w:val="20"/>
                    </w:rPr>
                    <w:t xml:space="preserve"> Peraturan perundang-undangan</w:t>
                  </w:r>
                </w:p>
              </w:txbxContent>
            </v:textbox>
          </v:shape>
        </w:pict>
      </w:r>
    </w:p>
    <w:p w:rsidR="00D72575" w:rsidRPr="0063725A" w:rsidRDefault="00D521E1" w:rsidP="00D72575">
      <w:pPr>
        <w:tabs>
          <w:tab w:val="right" w:leader="dot" w:pos="7938"/>
        </w:tabs>
        <w:spacing w:after="0" w:line="360" w:lineRule="auto"/>
        <w:jc w:val="both"/>
        <w:rPr>
          <w:rFonts w:ascii="Book Antiqua" w:eastAsia="Times New Roman" w:hAnsi="Book Antiqua" w:cs="Arial"/>
        </w:rPr>
      </w:pPr>
      <w:r w:rsidRPr="00D521E1">
        <w:rPr>
          <w:rFonts w:ascii="Book Antiqua" w:eastAsia="Times New Roman" w:hAnsi="Book Antiqua" w:cs="Arial"/>
          <w:noProof/>
          <w:lang w:val="en-GB" w:eastAsia="en-GB"/>
        </w:rPr>
        <w:pict>
          <v:shape id="Straight Arrow Connector 155" o:spid="_x0000_s1035" type="#_x0000_t32" style="position:absolute;left:0;text-align:left;margin-left:125.7pt;margin-top:9.3pt;width:33.75pt;height:0;flip:x;z-index:25166950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" strokecolor="windowText">
            <v:stroke endarrow="open"/>
          </v:shape>
        </w:pict>
      </w:r>
      <w:r w:rsidRPr="00D521E1">
        <w:rPr>
          <w:rFonts w:ascii="Book Antiqua" w:eastAsia="Times New Roman" w:hAnsi="Book Antiqua" w:cs="Arial"/>
          <w:noProof/>
          <w:lang w:val="en-GB" w:eastAsia="en-GB"/>
        </w:rPr>
        <w:pict>
          <v:line id="Straight Connector 156" o:spid="_x0000_s1033" style="position:absolute;left:0;text-align:left;flip:x;z-index:251667456;visibility:visible" from="282.45pt,9.3pt" to="316.9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" strokecolor="windowText"/>
        </w:pict>
      </w:r>
    </w:p>
    <w:p w:rsidR="00D72575" w:rsidRPr="0063725A" w:rsidRDefault="00D521E1" w:rsidP="00D72575">
      <w:pPr>
        <w:tabs>
          <w:tab w:val="right" w:leader="dot" w:pos="7938"/>
        </w:tabs>
        <w:spacing w:after="0" w:line="360" w:lineRule="auto"/>
        <w:jc w:val="both"/>
        <w:rPr>
          <w:rFonts w:ascii="Book Antiqua" w:eastAsia="Times New Roman" w:hAnsi="Book Antiqua" w:cs="Arial"/>
        </w:rPr>
      </w:pPr>
      <w:r w:rsidRPr="00D521E1">
        <w:rPr>
          <w:rFonts w:ascii="Book Antiqua" w:eastAsia="Times New Roman" w:hAnsi="Book Antiqua" w:cs="Arial"/>
          <w:noProof/>
          <w:lang w:val="en-GB" w:eastAsia="en-GB"/>
        </w:rPr>
        <w:pict>
          <v:shape id="Straight Arrow Connector 157" o:spid="_x0000_s1036" type="#_x0000_t32" style="position:absolute;left:0;text-align:left;margin-left:221.7pt;margin-top:.1pt;width:0;height:35.2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" strokecolor="windowText">
            <v:stroke endarrow="open"/>
          </v:shape>
        </w:pict>
      </w:r>
      <w:r w:rsidRPr="00D521E1">
        <w:rPr>
          <w:rFonts w:ascii="Book Antiqua" w:eastAsia="Times New Roman" w:hAnsi="Book Antiqua" w:cs="Arial"/>
          <w:noProof/>
          <w:lang w:val="en-GB" w:eastAsia="en-GB"/>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58" o:spid="_x0000_s1031" type="#_x0000_t34" style="position:absolute;left:0;text-align:left;margin-left:286.2pt;margin-top:.1pt;width:89.25pt;height:57pt;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" adj="-454" strokecolor="windowText">
            <v:stroke endarrow="open"/>
          </v:shape>
        </w:pict>
      </w:r>
      <w:r w:rsidRPr="00D521E1">
        <w:rPr>
          <w:rFonts w:ascii="Book Antiqua" w:eastAsia="Times New Roman" w:hAnsi="Book Antiqua" w:cs="Arial"/>
          <w:noProof/>
          <w:lang w:val="en-GB" w:eastAsia="en-GB"/>
        </w:rPr>
        <w:pict>
          <v:shape id="Elbow Connector 159" o:spid="_x0000_s1030" type="#_x0000_t34" style="position:absolute;left:0;text-align:left;margin-left:34.2pt;margin-top:.1pt;width:125.25pt;height:57pt;z-index:25166438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" adj="4980" strokecolor="windowText">
            <v:stroke endarrow="open"/>
          </v:shape>
        </w:pict>
      </w:r>
    </w:p>
    <w:p w:rsidR="00D72575" w:rsidRPr="0063725A" w:rsidRDefault="00D72575" w:rsidP="00D72575">
      <w:pPr>
        <w:tabs>
          <w:tab w:val="right" w:leader="dot" w:pos="7938"/>
        </w:tabs>
        <w:spacing w:after="0" w:line="360" w:lineRule="auto"/>
        <w:jc w:val="both"/>
        <w:rPr>
          <w:rFonts w:ascii="Book Antiqua" w:eastAsia="Times New Roman" w:hAnsi="Book Antiqua" w:cs="Arial"/>
        </w:rPr>
      </w:pPr>
    </w:p>
    <w:p w:rsidR="00D72575" w:rsidRPr="0063725A" w:rsidRDefault="00D521E1" w:rsidP="00D72575">
      <w:pPr>
        <w:tabs>
          <w:tab w:val="right" w:leader="dot" w:pos="7938"/>
        </w:tabs>
        <w:spacing w:after="0" w:line="360" w:lineRule="auto"/>
        <w:jc w:val="both"/>
        <w:rPr>
          <w:rFonts w:ascii="Book Antiqua" w:eastAsia="Times New Roman" w:hAnsi="Book Antiqua" w:cs="Arial"/>
        </w:rPr>
      </w:pPr>
      <w:r w:rsidRPr="00D521E1">
        <w:rPr>
          <w:rFonts w:ascii="Book Antiqua" w:eastAsia="Times New Roman" w:hAnsi="Book Antiqua" w:cs="Arial"/>
          <w:noProof/>
          <w:lang w:val="en-GB" w:eastAsia="en-GB"/>
        </w:rPr>
        <w:pict>
          <v:shape id="Text Box 160" o:spid="_x0000_s1026" type="#_x0000_t202" style="position:absolute;left:0;text-align:left;margin-left:163.95pt;margin-top:1.15pt;width:118.5pt;height:3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" fillcolor="window" strokeweight=".5pt">
            <v:textbox>
              <w:txbxContent>
                <w:p w:rsidR="004E75CF" w:rsidRPr="008B1500" w:rsidRDefault="004E75CF" w:rsidP="00AB0F50">
                  <w:pPr>
                    <w:pStyle w:val="Default"/>
                    <w:jc w:val="center"/>
                    <w:rPr>
                      <w:rFonts w:ascii="Arial" w:hAnsi="Arial" w:cs="Arial"/>
                      <w:sz w:val="20"/>
                      <w:szCs w:val="20"/>
                    </w:rPr>
                  </w:pPr>
                  <w:r w:rsidRPr="00AB0F50">
                    <w:rPr>
                      <w:rFonts w:ascii="Book Antiqua" w:eastAsiaTheme="minorEastAsia" w:hAnsi="Book Antiqua" w:cs="Arial"/>
                      <w:sz w:val="20"/>
                      <w:szCs w:val="20"/>
                      <w:lang w:val="id-ID" w:eastAsia="id-ID"/>
                    </w:rPr>
                    <w:t>Hati nurani</w:t>
                  </w:r>
                  <w:r>
                    <w:rPr>
                      <w:rFonts w:ascii="Book Antiqua" w:eastAsiaTheme="minorEastAsia" w:hAnsi="Book Antiqua" w:cs="Arial"/>
                      <w:sz w:val="20"/>
                      <w:szCs w:val="20"/>
                      <w:lang w:val="id-ID" w:eastAsia="id-ID"/>
                    </w:rPr>
                    <w:t xml:space="preserve"> </w:t>
                  </w:r>
                  <w:r w:rsidRPr="00AB0F50">
                    <w:rPr>
                      <w:rFonts w:ascii="Book Antiqua" w:hAnsi="Book Antiqua" w:cs="Arial"/>
                      <w:sz w:val="20"/>
                      <w:szCs w:val="20"/>
                    </w:rPr>
                    <w:t>hukum</w:t>
                  </w:r>
                </w:p>
              </w:txbxContent>
            </v:textbox>
          </v:shape>
        </w:pict>
      </w:r>
    </w:p>
    <w:p w:rsidR="00D72575" w:rsidRPr="0063725A" w:rsidRDefault="00D72575" w:rsidP="00D72575">
      <w:pPr>
        <w:tabs>
          <w:tab w:val="right" w:leader="dot" w:pos="7938"/>
        </w:tabs>
        <w:spacing w:after="0" w:line="360" w:lineRule="auto"/>
        <w:jc w:val="both"/>
        <w:rPr>
          <w:rFonts w:ascii="Book Antiqua" w:eastAsia="Times New Roman" w:hAnsi="Book Antiqua" w:cs="Arial"/>
        </w:rPr>
      </w:pPr>
    </w:p>
    <w:p w:rsidR="00D72575" w:rsidRPr="0063725A" w:rsidRDefault="00D72575" w:rsidP="00D72575">
      <w:pPr>
        <w:tabs>
          <w:tab w:val="right" w:leader="dot" w:pos="7938"/>
        </w:tabs>
        <w:spacing w:after="0" w:line="360" w:lineRule="auto"/>
        <w:jc w:val="both"/>
        <w:rPr>
          <w:rFonts w:ascii="Book Antiqua" w:hAnsi="Book Antiqua" w:cs="Arial"/>
          <w:b/>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t xml:space="preserve">Epistemologi ilmu hukum yang dikembangkan dengan sarana penalaran hati nurani sebagaimana telah dijelaskan dalam hukum kodrat memiliki objek berupa segala permasalahan hukum yang masuk dalam perasaan batin manusia, baik yang berawal dari realitas hukum secara empiris yang sering disebut dengan data primer maupun hukum positif dalam peraturan perundang-undangan yang sering disebut dengan data sekunder. Epistemologi ilmu hukum yang dikembangkan dengan sarana penalaran hati nurani dapat sekaligus menggunakan data primer dansekunder dalam mengkaji hukum. Penggunaan kedua data tersebutmerupakan konsekuensi dari epistemologi hati nurani yang tidak memiliki batasan tertentu yang bersifat jelas dan tegas seperti dalam logika rasional akal dan realitas fakta empiris. Kedua data hukum tersebut digunakan secara bersama-sama atau secara bertahap ketika diaplikasikan dalam memahami permasalahan hukum. Penggunaan kedua data tersebut dilakukan agar pemahaman yang dilakukan mampu menghantarkan pada pemahaman hukum yang tetap, utuh dan menyeluruh. Dalam hal ini perlu diingat, bahwa penggunaan data primer dan sekunder dalam kajian hukum yang memiliki objek dalam hati nuranibukan merupakan bentuk dari </w:t>
      </w:r>
      <w:r w:rsidRPr="0063725A">
        <w:rPr>
          <w:rFonts w:ascii="Book Antiqua" w:hAnsi="Book Antiqua" w:cs="Arial"/>
          <w:sz w:val="24"/>
          <w:szCs w:val="24"/>
        </w:rPr>
        <w:lastRenderedPageBreak/>
        <w:t>penggabunganakal dan indera, akan tetapi digunakan untuk menstimulasi munculnya data baru yang hanya mampu dirasakan hati nurani.</w:t>
      </w:r>
    </w:p>
    <w:p w:rsidR="00D72575" w:rsidRPr="0063725A" w:rsidRDefault="00D72575" w:rsidP="00D72575">
      <w:pPr>
        <w:tabs>
          <w:tab w:val="right" w:leader="dot" w:pos="7938"/>
        </w:tabs>
        <w:spacing w:after="0" w:line="480" w:lineRule="auto"/>
        <w:jc w:val="both"/>
        <w:rPr>
          <w:rFonts w:ascii="Book Antiqua" w:eastAsia="Times New Roman" w:hAnsi="Book Antiqua" w:cs="Arial"/>
          <w:b/>
          <w:sz w:val="24"/>
          <w:szCs w:val="24"/>
        </w:rPr>
      </w:pPr>
      <w:r w:rsidRPr="0063725A">
        <w:rPr>
          <w:rFonts w:ascii="Book Antiqua" w:eastAsia="Times New Roman" w:hAnsi="Book Antiqua" w:cs="Arial"/>
          <w:b/>
          <w:sz w:val="24"/>
          <w:szCs w:val="24"/>
        </w:rPr>
        <w:t>b. Metode</w:t>
      </w:r>
      <w:r w:rsidR="00F865BB">
        <w:rPr>
          <w:rFonts w:ascii="Book Antiqua" w:eastAsia="Times New Roman" w:hAnsi="Book Antiqua" w:cs="Arial"/>
          <w:b/>
          <w:sz w:val="24"/>
          <w:szCs w:val="24"/>
        </w:rPr>
        <w:t xml:space="preserve"> </w:t>
      </w:r>
      <w:r w:rsidRPr="0063725A">
        <w:rPr>
          <w:rFonts w:ascii="Book Antiqua" w:eastAsia="Times New Roman" w:hAnsi="Book Antiqua" w:cs="Arial"/>
          <w:b/>
          <w:sz w:val="24"/>
          <w:szCs w:val="24"/>
        </w:rPr>
        <w:t>pe</w:t>
      </w:r>
      <w:r w:rsidR="00F865BB">
        <w:rPr>
          <w:rFonts w:ascii="Book Antiqua" w:eastAsia="Times New Roman" w:hAnsi="Book Antiqua" w:cs="Arial"/>
          <w:b/>
          <w:sz w:val="24"/>
          <w:szCs w:val="24"/>
        </w:rPr>
        <w:t xml:space="preserve">nalaran epistemologi ilmu hukum berdasarkan </w:t>
      </w:r>
      <w:r w:rsidRPr="0063725A">
        <w:rPr>
          <w:rFonts w:ascii="Book Antiqua" w:eastAsia="Times New Roman" w:hAnsi="Book Antiqua" w:cs="Arial"/>
          <w:b/>
          <w:sz w:val="24"/>
          <w:szCs w:val="24"/>
        </w:rPr>
        <w:t>hati nurani</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 xml:space="preserve">          Untuk memahami epistemologi ilmu hukum yang dikembangkan dengan sarana penalaran hati nurani yang memiliki </w:t>
      </w:r>
      <w:r w:rsidRPr="0063725A">
        <w:rPr>
          <w:rFonts w:ascii="Book Antiqua" w:hAnsi="Book Antiqua" w:cs="Arial"/>
          <w:sz w:val="24"/>
          <w:szCs w:val="24"/>
        </w:rPr>
        <w:t xml:space="preserve">objek segala permasalahan hukum yang masuk dalam perasaan hati nurani, baik berawal dari dunia hukum empiris maupun sistem norma hukum positif, maka </w:t>
      </w:r>
      <w:r w:rsidRPr="0063725A">
        <w:rPr>
          <w:rFonts w:ascii="Book Antiqua" w:eastAsia="Times New Roman" w:hAnsi="Book Antiqua" w:cs="Arial"/>
          <w:sz w:val="24"/>
          <w:szCs w:val="24"/>
        </w:rPr>
        <w:t xml:space="preserve">pada tahap awal dilakukan dengan proses penggalian data. </w:t>
      </w:r>
      <w:r w:rsidRPr="0063725A">
        <w:rPr>
          <w:rFonts w:ascii="Book Antiqua" w:hAnsi="Book Antiqua" w:cs="Arial"/>
          <w:sz w:val="24"/>
          <w:szCs w:val="24"/>
        </w:rPr>
        <w:t xml:space="preserve">Teknik pengumpulan data dalam kajian ilmu hukum yang berobjek pada hukum dalam hati nurani dilakukan dengan melakukan dua cara. </w:t>
      </w:r>
      <w:r w:rsidRPr="0063725A">
        <w:rPr>
          <w:rFonts w:ascii="Book Antiqua" w:hAnsi="Book Antiqua" w:cs="Arial"/>
          <w:i/>
          <w:sz w:val="24"/>
          <w:szCs w:val="24"/>
        </w:rPr>
        <w:t>Pertama</w:t>
      </w:r>
      <w:r w:rsidRPr="0063725A">
        <w:rPr>
          <w:rFonts w:ascii="Book Antiqua" w:hAnsi="Book Antiqua" w:cs="Arial"/>
          <w:sz w:val="24"/>
          <w:szCs w:val="24"/>
        </w:rPr>
        <w:t xml:space="preserve">, seperti data primer melalui penggalian hukum yang hidup dan berkembang menjadi tradisi kebiasaan masyarakat denganwawancara, observasi dan angket seperti dalam epistemologi ilmu hukum yang dikembangkan dengan sarana penalaran indera yang mengandalkan data empiris di lapangan. </w:t>
      </w:r>
      <w:r w:rsidRPr="0063725A">
        <w:rPr>
          <w:rFonts w:ascii="Book Antiqua" w:hAnsi="Book Antiqua" w:cs="Arial"/>
          <w:i/>
          <w:sz w:val="24"/>
          <w:szCs w:val="24"/>
        </w:rPr>
        <w:t>Kedua</w:t>
      </w:r>
      <w:r w:rsidRPr="0063725A">
        <w:rPr>
          <w:rFonts w:ascii="Book Antiqua" w:hAnsi="Book Antiqua" w:cs="Arial"/>
          <w:sz w:val="24"/>
          <w:szCs w:val="24"/>
        </w:rPr>
        <w:t xml:space="preserve">, seperti data sekunder melalui studi kepustakaan dengan teknik membaca, melihat, mendengar dan mencatat segala dokumen yang terdapat dalam perpustakaan dan melalui penelusuran di dunia maya (internet). Data yang diperoleh dari hasil penggalian di lapangan dan studi kepustakaan mungkin dapat dianggap sebagai data hukum yang lengkap atau belum, oleh karena itu harus dibuktikan lebih lanjut dengan menyesuaikan dengan data yang lainnya. Autentisitas data primer dan sekunder perlu dikaji secara analisis kritis dan teliti sebelum diaplikasikan pada kajian hukum yang lebih lanjut. </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Pengolahan terhadap data primer yang berupa tradisi kebiasaan hukum di masyarakat dan data sekunder yang berupa sistem norma hukum positif dilakukan </w:t>
      </w:r>
      <w:r w:rsidRPr="0063725A">
        <w:rPr>
          <w:rFonts w:ascii="Book Antiqua" w:hAnsi="Book Antiqua" w:cs="Arial"/>
          <w:sz w:val="24"/>
          <w:szCs w:val="24"/>
        </w:rPr>
        <w:lastRenderedPageBreak/>
        <w:t>untuk melakukan validasi dan sistematisasi. Teknik pengolahan data dilakukan dengan cara melakukan seleksi data primer dan sekunder, kemudian dilanjutkan dengan melakukan klasifikasi menurut penggolongan bahan hukum dan menyusun data secara sistematis secara objektif dan logis. Penggunaan sistem yang tersusun secara objektif dan logis ini menjadi bagian proses dalam ilmu hukum yang berbasis hati nurani yang dapat dilakukan dalam metode penalaran teori hukum kodrat.Setelah data primer dan sekunder dikumpulkan dan diolah, maka langkah selanjutnya dilakukan tahap utama intuisi, yaitu melakukan kontemplasi terhadap hasil pengolahan data tersebut yang didukung dengan teori hukum kodrat yang mana dalam hal ini lebih cenderung menggunakan hati nurani sebagai sarana penalaran untuk mengembangkan epistemologinya. Intuisi merupakan perenungan batin untuk memberikan penilaian yang dapat bersifat mendukung ataumenentang. Kegunaan intuisiuntuk merasakan hubunganantara bahan hukum yang satu dengan yang lain untuk memperoleh pemahaman hukum secara utuh, tetap dan menyeluruh,</w:t>
      </w:r>
      <w:r w:rsidRPr="0063725A">
        <w:rPr>
          <w:rStyle w:val="FootnoteReference"/>
          <w:rFonts w:ascii="Book Antiqua" w:hAnsi="Book Antiqua" w:cs="Arial"/>
          <w:sz w:val="24"/>
          <w:szCs w:val="24"/>
        </w:rPr>
        <w:footnoteReference w:id="194"/>
      </w:r>
      <w:r w:rsidRPr="0063725A">
        <w:rPr>
          <w:rFonts w:ascii="Book Antiqua" w:hAnsi="Book Antiqua" w:cs="Arial"/>
          <w:sz w:val="24"/>
          <w:szCs w:val="24"/>
        </w:rPr>
        <w:t xml:space="preserve">sehingga permasalahan hukum tersebut dapat dirasakan oleh hati nurani.Dalam teknik ini, meskipun dilakukan dengan prosedur dan mekanisme seperti dalam metode deduktif dan induktif, tetapi ukuran yang menjadi standart penilaian hukum oleh hati nuraniadalah perasaan dari dalam benak yang menolak atau menerima, sehingga sulit untuk dijelaskan secara jelas seperti dalam kajian empiris logis. Namun demikian, bukan berarti hasil kebenaran epistemologi ilmu hukum yang dikembangkan dengan sarana penalaran hati nurani tidak dapat </w:t>
      </w:r>
      <w:r w:rsidRPr="0063725A">
        <w:rPr>
          <w:rFonts w:ascii="Book Antiqua" w:hAnsi="Book Antiqua" w:cs="Arial"/>
          <w:sz w:val="24"/>
          <w:szCs w:val="24"/>
        </w:rPr>
        <w:lastRenderedPageBreak/>
        <w:t xml:space="preserve">diterima dan dipertanggungjawabkan. Banyak ditemukan praktisi, akademisi dan masyarakat umum yang lebih cenderung untuk mengikuti kebenaran hati nurani dari pada kebenaran yang bersifat empiris dan logis.   </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hati nurani dalam memperoleh pengetahuan yang benar dengan menggunakan metode penalaran intuisi, yaitu pengetahuan yang diperoleh tanpa tanpa melalui proses penalaran tertentu seperti dalam metode penalaran rasional akal atau empirisme inderawi. Intuisi sebagai cara hati nurani untuk memperoleh pengetahuan yang benar pada dasarnya juga merupakan metode penalaran, seperti dikatakan Pascal, bahwa hati nurani sebagai instrumen manusia untuk memperoleh pengetahuan juga memiliki sistem penalaran tersendiri untuk memperoleh pengetahuan.</w:t>
      </w:r>
      <w:r w:rsidRPr="0063725A">
        <w:rPr>
          <w:rStyle w:val="FootnoteReference"/>
          <w:rFonts w:ascii="Book Antiqua" w:hAnsi="Book Antiqua" w:cs="Arial"/>
          <w:sz w:val="24"/>
          <w:szCs w:val="24"/>
        </w:rPr>
        <w:footnoteReference w:id="195"/>
      </w:r>
      <w:r w:rsidRPr="0063725A">
        <w:rPr>
          <w:rFonts w:ascii="Book Antiqua" w:hAnsi="Book Antiqua" w:cs="Arial"/>
          <w:sz w:val="24"/>
          <w:szCs w:val="24"/>
        </w:rPr>
        <w:t xml:space="preserve"> Intuisi pada hakikatnya merupakan naluri yang menjadi kesadaran diri dan menuntun manusia kepada kehidupan batiniah. Intuisi dapat berkembang menjadi petunjuk dalam hal-hal yang penting, sehingga dengan intuisi manusia dapat menemukan dorongan vital  (</w:t>
      </w:r>
      <w:r w:rsidRPr="0063725A">
        <w:rPr>
          <w:rFonts w:ascii="Book Antiqua" w:hAnsi="Book Antiqua" w:cs="Arial"/>
          <w:i/>
          <w:sz w:val="24"/>
          <w:szCs w:val="24"/>
        </w:rPr>
        <w:t>elan vital</w:t>
      </w:r>
      <w:r w:rsidRPr="0063725A">
        <w:rPr>
          <w:rFonts w:ascii="Book Antiqua" w:hAnsi="Book Antiqua" w:cs="Arial"/>
          <w:sz w:val="24"/>
          <w:szCs w:val="24"/>
        </w:rPr>
        <w:t>) dari dunia yang berasal dari dalam diri manusia dan bersifat langsung. Menurut Mehdi Yazdi, dalam penalaran intuisi seseorang merasa yakin bahwa memang itulah jawaban yang diyakini kebenarannya, akan tetapi terkadang sulit untuk dijelaskan secara ilmiah, karena sifatnya</w:t>
      </w:r>
      <w:r w:rsidRPr="0063725A">
        <w:rPr>
          <w:rFonts w:ascii="Book Antiqua" w:hAnsi="Book Antiqua" w:cs="Arial"/>
          <w:i/>
          <w:sz w:val="24"/>
          <w:szCs w:val="24"/>
        </w:rPr>
        <w:t>swaobjektif</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96"/>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hAnsi="Book Antiqua" w:cs="Arial"/>
          <w:sz w:val="24"/>
          <w:szCs w:val="24"/>
        </w:rPr>
        <w:t xml:space="preserve">Intuisi sebagai cara penalaran untuk memperoleh kebenaran tidak dapat begitu saja dikesampingkan, bahkan oleh beberapa ilmuan seperti Maslow, intuisi diyakini sebagai pengalaman puncak sebagai pembentuk pengetahuan yang benar </w:t>
      </w:r>
      <w:r w:rsidRPr="0063725A">
        <w:rPr>
          <w:rFonts w:ascii="Book Antiqua" w:hAnsi="Book Antiqua" w:cs="Arial"/>
          <w:sz w:val="24"/>
          <w:szCs w:val="24"/>
        </w:rPr>
        <w:lastRenderedPageBreak/>
        <w:t>bagi manusia (</w:t>
      </w:r>
      <w:r w:rsidRPr="0063725A">
        <w:rPr>
          <w:rFonts w:ascii="Book Antiqua" w:hAnsi="Book Antiqua" w:cs="Arial"/>
          <w:i/>
          <w:sz w:val="24"/>
          <w:szCs w:val="24"/>
        </w:rPr>
        <w:t>peak experience</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197"/>
      </w:r>
      <w:r w:rsidRPr="0063725A">
        <w:rPr>
          <w:rFonts w:ascii="Book Antiqua" w:hAnsi="Book Antiqua" w:cs="Arial"/>
          <w:sz w:val="24"/>
          <w:szCs w:val="24"/>
        </w:rPr>
        <w:t xml:space="preserve"> Sebagai pengalaman puncak dapat diartikan lebih dari seperti apa yang dapat dilihat dari pengalaman empiris inderawi dan logika rasional akal, sehingga pengalaman yang diperoleh dari rangkaian suatu fakta dan pemikiran logis bergulat dalam suatu perenungan batin yang bersifat mendalam sehingga membentuk sebuah kesimpulan yang bermakna tinggi dari indera dan akal. Hal ini seperti dikemukakan oleh Nietzsche yang memahami intuisi hati nurani sebagai suatu inteligensi dari kemampuan nalar manusia yang paling tinggi.</w:t>
      </w:r>
      <w:r w:rsidRPr="0063725A">
        <w:rPr>
          <w:rStyle w:val="FootnoteReference"/>
          <w:rFonts w:ascii="Book Antiqua" w:hAnsi="Book Antiqua" w:cs="Arial"/>
          <w:sz w:val="24"/>
          <w:szCs w:val="24"/>
        </w:rPr>
        <w:footnoteReference w:id="198"/>
      </w:r>
      <w:r w:rsidRPr="0063725A">
        <w:rPr>
          <w:rFonts w:ascii="Book Antiqua" w:hAnsi="Book Antiqua" w:cs="Arial"/>
          <w:sz w:val="24"/>
          <w:szCs w:val="24"/>
        </w:rPr>
        <w:t xml:space="preserve"> Artinya pengetahuan tersebut tidak lagi dapat dijangkau oleh akal dan indera manusia, maka pengetahuan tersebut memiliki suatu nilai penalaran yang lebih. Harus diakui, bahwa kemampuan akal dan indera manusia memiliki keterbatasan, hal itu dapat dilihat dari metode penalaran yang digunakan. Sedangkan intuisi yang merupakan cara penalaran hati nurani tidak dibatasi oleh metode penalaran tertentu, artinya tidak ada ukuran yang bersifat objektif dan pasti dalam penalaran intuisi, meskipun itu adamerupakan metode inferensi pengambilan satu kesimpulan dalam tataran yang lebih rendah.</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eastAsia="Times New Roman" w:hAnsi="Book Antiqua" w:cs="Arial"/>
          <w:sz w:val="24"/>
          <w:szCs w:val="24"/>
        </w:rPr>
        <w:t>Penalaran epistemologi ilmu hukum yang dikembangkan dengan sarana penalaran hati nurani memiliki cara penalaran yang khas dengan melalui intuisi seperti terdapat dalam hukum kodrat. Penggunaan penalaran intuisi dalam hukum kodrat sesuai dengan konteks jaman pada masa itu belum mengenal penggunaan akal secara ilmiah, bahkan jika terjadi penggunaan akal pun pada dasarnya masih terdapat pengaruh kuat dari intuisi. Menurut J.W Harris pada jaman peradaban kuno manusia menggunakan penalaran intusi (</w:t>
      </w:r>
      <w:r w:rsidRPr="0063725A">
        <w:rPr>
          <w:rFonts w:ascii="Book Antiqua" w:eastAsia="Times New Roman" w:hAnsi="Book Antiqua" w:cs="Arial"/>
          <w:i/>
          <w:sz w:val="24"/>
          <w:szCs w:val="24"/>
        </w:rPr>
        <w:t>ancient conception of judgeship</w:t>
      </w:r>
      <w:r w:rsidRPr="0063725A">
        <w:rPr>
          <w:rFonts w:ascii="Book Antiqua" w:eastAsia="Times New Roman" w:hAnsi="Book Antiqua" w:cs="Arial"/>
          <w:sz w:val="24"/>
          <w:szCs w:val="24"/>
        </w:rPr>
        <w:t xml:space="preserve">), bukan </w:t>
      </w:r>
      <w:r w:rsidRPr="0063725A">
        <w:rPr>
          <w:rFonts w:ascii="Book Antiqua" w:eastAsia="Times New Roman" w:hAnsi="Book Antiqua" w:cs="Arial"/>
          <w:sz w:val="24"/>
          <w:szCs w:val="24"/>
        </w:rPr>
        <w:lastRenderedPageBreak/>
        <w:t xml:space="preserve">penalaran akal rasional seperti jaman modern. Sebagai pemahaman dan pengenalan langsung terhadap hukum, inferensi diletakkan pada kedudukan yang lebih rendah terkait dengan hukum hasil pembentukan manusia. Dalam tingkatan hukum diatas itu pemahaman tidak dapat terjangkau oleh akal manusia. Penalaran intuisi dalam hukum kodrat sesuai dengan sifat hukumnya yang mengandung asas-asas kebenaran universal. Setiap kewajiban pertama menurut William David Rose harus selalu dianggap sebagai </w:t>
      </w:r>
      <w:r w:rsidRPr="0063725A">
        <w:rPr>
          <w:rFonts w:ascii="Book Antiqua" w:eastAsia="Times New Roman" w:hAnsi="Book Antiqua" w:cs="Arial"/>
          <w:i/>
          <w:sz w:val="24"/>
          <w:szCs w:val="24"/>
        </w:rPr>
        <w:t>prima facie</w:t>
      </w:r>
      <w:r w:rsidRPr="0063725A">
        <w:rPr>
          <w:rFonts w:ascii="Book Antiqua" w:eastAsia="Times New Roman" w:hAnsi="Book Antiqua" w:cs="Arial"/>
          <w:sz w:val="24"/>
          <w:szCs w:val="24"/>
        </w:rPr>
        <w:t xml:space="preserve">, yaitu kewajiban yang pada tahap awal harus berlaku sebelum muncul kewajiban lain yang mengalahkannya. Dalam diri pribadi manusia pasti memiliki </w:t>
      </w:r>
      <w:r w:rsidRPr="0063725A">
        <w:rPr>
          <w:rFonts w:ascii="Book Antiqua" w:eastAsia="Times New Roman" w:hAnsi="Book Antiqua" w:cs="Arial"/>
          <w:i/>
          <w:sz w:val="24"/>
          <w:szCs w:val="24"/>
        </w:rPr>
        <w:t>prima facie</w:t>
      </w:r>
      <w:r w:rsidRPr="0063725A">
        <w:rPr>
          <w:rFonts w:ascii="Book Antiqua" w:eastAsia="Times New Roman" w:hAnsi="Book Antiqua" w:cs="Arial"/>
          <w:sz w:val="24"/>
          <w:szCs w:val="24"/>
        </w:rPr>
        <w:t xml:space="preserve"> yang lahir dari intuisi hati nurani sebagai instrumen yang secara langsung dapat merespon. Menurut Paul Scholten manusia memiliki kesadaran diri yang terdapat dalam intuisi hati nurani terkait dengan hal-hal yang bersifat umum, seperti kewajiban umum untuk berbuat baik kepada orang lain.</w:t>
      </w:r>
      <w:r w:rsidRPr="0063725A">
        <w:rPr>
          <w:rStyle w:val="FootnoteReference"/>
          <w:rFonts w:ascii="Book Antiqua" w:eastAsia="Times New Roman" w:hAnsi="Book Antiqua" w:cs="Arial"/>
          <w:sz w:val="24"/>
          <w:szCs w:val="24"/>
        </w:rPr>
        <w:footnoteReference w:id="199"/>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eastAsia="Times New Roman" w:hAnsi="Book Antiqua" w:cs="Arial"/>
          <w:sz w:val="24"/>
          <w:szCs w:val="24"/>
        </w:rPr>
        <w:t xml:space="preserve">Dalam memahami intuisi sebagai cara penalaranepistemologi ilmu pengetahuan, termasuk dalam hal ini adalah ilmu hukum, makajika merujuk pada Islam sebagaimana dikemukakan oleh Suhrawardi dapat dilakukan dengan beberapa tahap. </w:t>
      </w:r>
      <w:r w:rsidRPr="0063725A">
        <w:rPr>
          <w:rFonts w:ascii="Book Antiqua" w:hAnsi="Book Antiqua" w:cs="Arial"/>
          <w:i/>
          <w:sz w:val="24"/>
          <w:szCs w:val="24"/>
        </w:rPr>
        <w:t>Pertama</w:t>
      </w:r>
      <w:r w:rsidRPr="0063725A">
        <w:rPr>
          <w:rFonts w:ascii="Book Antiqua" w:hAnsi="Book Antiqua" w:cs="Arial"/>
          <w:sz w:val="24"/>
          <w:szCs w:val="24"/>
        </w:rPr>
        <w:t xml:space="preserve">, tahap persiapan. Hal ini meliputi: </w:t>
      </w:r>
      <w:r w:rsidRPr="0063725A">
        <w:rPr>
          <w:rFonts w:ascii="Book Antiqua" w:hAnsi="Book Antiqua" w:cs="Arial"/>
          <w:i/>
          <w:sz w:val="24"/>
          <w:szCs w:val="24"/>
        </w:rPr>
        <w:t>taubat</w:t>
      </w:r>
      <w:r w:rsidRPr="0063725A">
        <w:rPr>
          <w:rFonts w:ascii="Book Antiqua" w:hAnsi="Book Antiqua" w:cs="Arial"/>
          <w:sz w:val="24"/>
          <w:szCs w:val="24"/>
        </w:rPr>
        <w:t xml:space="preserve">, </w:t>
      </w:r>
      <w:r w:rsidRPr="0063725A">
        <w:rPr>
          <w:rFonts w:ascii="Book Antiqua" w:hAnsi="Book Antiqua" w:cs="Arial"/>
          <w:i/>
          <w:sz w:val="24"/>
          <w:szCs w:val="24"/>
        </w:rPr>
        <w:t>wara’</w:t>
      </w:r>
      <w:r w:rsidRPr="0063725A">
        <w:rPr>
          <w:rFonts w:ascii="Book Antiqua" w:hAnsi="Book Antiqua" w:cs="Arial"/>
          <w:sz w:val="24"/>
          <w:szCs w:val="24"/>
        </w:rPr>
        <w:t xml:space="preserve">, </w:t>
      </w:r>
      <w:r w:rsidRPr="0063725A">
        <w:rPr>
          <w:rFonts w:ascii="Book Antiqua" w:hAnsi="Book Antiqua" w:cs="Arial"/>
          <w:i/>
          <w:sz w:val="24"/>
          <w:szCs w:val="24"/>
        </w:rPr>
        <w:t>zuhud</w:t>
      </w:r>
      <w:r w:rsidRPr="0063725A">
        <w:rPr>
          <w:rFonts w:ascii="Book Antiqua" w:hAnsi="Book Antiqua" w:cs="Arial"/>
          <w:sz w:val="24"/>
          <w:szCs w:val="24"/>
        </w:rPr>
        <w:t xml:space="preserve">, fakir, sabar, </w:t>
      </w:r>
      <w:r w:rsidRPr="0063725A">
        <w:rPr>
          <w:rFonts w:ascii="Book Antiqua" w:hAnsi="Book Antiqua" w:cs="Arial"/>
          <w:i/>
          <w:sz w:val="24"/>
          <w:szCs w:val="24"/>
        </w:rPr>
        <w:t>tawakkal</w:t>
      </w:r>
      <w:r w:rsidRPr="0063725A">
        <w:rPr>
          <w:rFonts w:ascii="Book Antiqua" w:hAnsi="Book Antiqua" w:cs="Arial"/>
          <w:sz w:val="24"/>
          <w:szCs w:val="24"/>
        </w:rPr>
        <w:t xml:space="preserve">, </w:t>
      </w:r>
      <w:r w:rsidRPr="0063725A">
        <w:rPr>
          <w:rFonts w:ascii="Book Antiqua" w:hAnsi="Book Antiqua" w:cs="Arial"/>
          <w:i/>
          <w:sz w:val="24"/>
          <w:szCs w:val="24"/>
        </w:rPr>
        <w:t>ridha</w:t>
      </w:r>
      <w:r w:rsidRPr="0063725A">
        <w:rPr>
          <w:rFonts w:ascii="Book Antiqua" w:hAnsi="Book Antiqua" w:cs="Arial"/>
          <w:sz w:val="24"/>
          <w:szCs w:val="24"/>
        </w:rPr>
        <w:t xml:space="preserve">. </w:t>
      </w:r>
      <w:r w:rsidRPr="0063725A">
        <w:rPr>
          <w:rFonts w:ascii="Book Antiqua" w:hAnsi="Book Antiqua" w:cs="Arial"/>
          <w:i/>
          <w:sz w:val="24"/>
          <w:szCs w:val="24"/>
        </w:rPr>
        <w:t>Kedua</w:t>
      </w:r>
      <w:r w:rsidRPr="0063725A">
        <w:rPr>
          <w:rFonts w:ascii="Book Antiqua" w:hAnsi="Book Antiqua" w:cs="Arial"/>
          <w:sz w:val="24"/>
          <w:szCs w:val="24"/>
        </w:rPr>
        <w:t xml:space="preserve">, tahap penerimaan. Setelah mencapai tahap persiapan, seseorang akan mendapatkan limpahan pengetahuan (hukum) langsung dari Tuhan secara </w:t>
      </w:r>
      <w:r w:rsidRPr="0063725A">
        <w:rPr>
          <w:rFonts w:ascii="Book Antiqua" w:hAnsi="Book Antiqua" w:cs="Arial"/>
          <w:i/>
          <w:sz w:val="24"/>
          <w:szCs w:val="24"/>
        </w:rPr>
        <w:t>iluminatif</w:t>
      </w:r>
      <w:r w:rsidRPr="0063725A">
        <w:rPr>
          <w:rFonts w:ascii="Book Antiqua" w:hAnsi="Book Antiqua" w:cs="Arial"/>
          <w:sz w:val="24"/>
          <w:szCs w:val="24"/>
        </w:rPr>
        <w:t xml:space="preserve">. Pada tahap ini seseorang akan mendapatkan realitas kesadaran diri yang demikian mutlak, sehingga dengan kesadaran itu seseorang mampu melihat realitas dirinya sendiri sebagai objek yang diketahui. Namun realitas kesadaran dan realitas yang disadari tersebut merupakan eksistensi yang </w:t>
      </w:r>
      <w:r w:rsidRPr="0063725A">
        <w:rPr>
          <w:rFonts w:ascii="Book Antiqua" w:hAnsi="Book Antiqua" w:cs="Arial"/>
          <w:sz w:val="24"/>
          <w:szCs w:val="24"/>
        </w:rPr>
        <w:lastRenderedPageBreak/>
        <w:t xml:space="preserve">sama, sehingga tahap ini menurut Mehdi Yazdi melahirkan ilmu </w:t>
      </w:r>
      <w:r w:rsidRPr="0063725A">
        <w:rPr>
          <w:rFonts w:ascii="Book Antiqua" w:hAnsi="Book Antiqua" w:cs="Arial"/>
          <w:i/>
          <w:sz w:val="24"/>
          <w:szCs w:val="24"/>
        </w:rPr>
        <w:t xml:space="preserve">huduri </w:t>
      </w:r>
      <w:r w:rsidRPr="0063725A">
        <w:rPr>
          <w:rFonts w:ascii="Book Antiqua" w:hAnsi="Book Antiqua" w:cs="Arial"/>
          <w:sz w:val="24"/>
          <w:szCs w:val="24"/>
        </w:rPr>
        <w:t xml:space="preserve">atau pengetahuan </w:t>
      </w:r>
      <w:r w:rsidRPr="0063725A">
        <w:rPr>
          <w:rFonts w:ascii="Book Antiqua" w:hAnsi="Book Antiqua" w:cs="Arial"/>
          <w:i/>
          <w:sz w:val="24"/>
          <w:szCs w:val="24"/>
        </w:rPr>
        <w:t>swaobjektif</w:t>
      </w:r>
      <w:r w:rsidRPr="0063725A">
        <w:rPr>
          <w:rFonts w:ascii="Book Antiqua" w:hAnsi="Book Antiqua" w:cs="Arial"/>
          <w:sz w:val="24"/>
          <w:szCs w:val="24"/>
        </w:rPr>
        <w:t xml:space="preserve">. </w:t>
      </w:r>
      <w:r w:rsidRPr="0063725A">
        <w:rPr>
          <w:rFonts w:ascii="Book Antiqua" w:hAnsi="Book Antiqua" w:cs="Arial"/>
          <w:i/>
          <w:sz w:val="24"/>
          <w:szCs w:val="24"/>
        </w:rPr>
        <w:t>Ketiga</w:t>
      </w:r>
      <w:r w:rsidRPr="0063725A">
        <w:rPr>
          <w:rFonts w:ascii="Book Antiqua" w:hAnsi="Book Antiqua" w:cs="Arial"/>
          <w:sz w:val="24"/>
          <w:szCs w:val="24"/>
        </w:rPr>
        <w:t xml:space="preserve">, tahap pengungkapan. Merupakan tahap terakhir dari proses pencapaian pengetahuan hati nurani, dimana pengalaman mistik tentang hukum dapat diinterpretasikan dan diungkapkan kepada orang lain lewat ucapan atau tulisan. Pengetahuan </w:t>
      </w:r>
      <w:r w:rsidRPr="0063725A">
        <w:rPr>
          <w:rFonts w:ascii="Book Antiqua" w:hAnsi="Book Antiqua" w:cs="Arial"/>
          <w:i/>
          <w:sz w:val="24"/>
          <w:szCs w:val="24"/>
        </w:rPr>
        <w:t>irfani</w:t>
      </w:r>
      <w:r w:rsidRPr="0063725A">
        <w:rPr>
          <w:rFonts w:ascii="Book Antiqua" w:hAnsi="Book Antiqua" w:cs="Arial"/>
          <w:sz w:val="24"/>
          <w:szCs w:val="24"/>
        </w:rPr>
        <w:t xml:space="preserve"> bukan masuk tatanan konsepsi dan representasi, tetapi terkait dengan kesatuan simpleks kehadiran Tuhan dalam diri dan kehadiran diri dalam Tuhan, sehingga cenderung sulit untuk dikomunikasikan, maka tidak semua pengalaman ini dapat diungkapkan.</w:t>
      </w:r>
      <w:r w:rsidRPr="0063725A">
        <w:rPr>
          <w:rStyle w:val="FootnoteReference"/>
          <w:rFonts w:ascii="Book Antiqua" w:hAnsi="Book Antiqua" w:cs="Arial"/>
          <w:sz w:val="24"/>
          <w:szCs w:val="24"/>
        </w:rPr>
        <w:footnoteReference w:id="200"/>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A763DC">
        <w:rPr>
          <w:rFonts w:ascii="Book Antiqua" w:hAnsi="Book Antiqua" w:cs="Arial"/>
          <w:sz w:val="24"/>
          <w:szCs w:val="24"/>
        </w:rPr>
        <w:t xml:space="preserve">          </w:t>
      </w:r>
      <w:r w:rsidRPr="0063725A">
        <w:rPr>
          <w:rFonts w:ascii="Book Antiqua" w:hAnsi="Book Antiqua" w:cs="Arial"/>
          <w:sz w:val="24"/>
          <w:szCs w:val="24"/>
        </w:rPr>
        <w:t>Cara penalaran intuisi hati nurani untuk memperoleh kebenaran mutlak dari Tuhan seperti dijelaskan dalam Q.S As Syams ayat 7-10;</w:t>
      </w:r>
    </w:p>
    <w:p w:rsidR="00D72575" w:rsidRPr="0063725A" w:rsidRDefault="00D72575" w:rsidP="00D72575">
      <w:pPr>
        <w:tabs>
          <w:tab w:val="right" w:leader="dot" w:pos="7938"/>
        </w:tabs>
        <w:spacing w:after="0" w:line="240" w:lineRule="auto"/>
        <w:jc w:val="both"/>
        <w:rPr>
          <w:rFonts w:ascii="Book Antiqua" w:hAnsi="Book Antiqua" w:cs="Arial"/>
          <w:i/>
          <w:sz w:val="24"/>
          <w:szCs w:val="24"/>
        </w:rPr>
      </w:pPr>
      <w:r w:rsidRPr="0063725A">
        <w:rPr>
          <w:rFonts w:ascii="Book Antiqua" w:hAnsi="Book Antiqua" w:cs="Arial"/>
          <w:i/>
          <w:sz w:val="24"/>
          <w:szCs w:val="24"/>
        </w:rPr>
        <w:t>“Dan jiwa serta penyempurnaannya (ciptaannya). Maka Allah mengilhamkan kepada jiwa itu (jalan) kefasikan dan ketakwaannya. Sesungguhnya beruntunglah orang yang mensucikan jiwa itu. Dan sesungguhnya merugilah orang yang mengotorinya.”</w:t>
      </w:r>
    </w:p>
    <w:p w:rsidR="00D72575" w:rsidRPr="0063725A" w:rsidRDefault="00D72575" w:rsidP="00D72575">
      <w:pPr>
        <w:tabs>
          <w:tab w:val="right" w:leader="dot" w:pos="7938"/>
        </w:tabs>
        <w:spacing w:after="0" w:line="24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Intuisi sebagai metode penalaran hati nurani dalam mengembangkan epistemologi ilmu hukum, seperti disebutkan dalam ayat tersebut di atas memiliki kedekatan dengan kehidupan spiritual Ketuhanan yang mampu membimbing manusia menuju kehidupan </w:t>
      </w:r>
      <w:r w:rsidRPr="0063725A">
        <w:rPr>
          <w:rFonts w:ascii="Book Antiqua" w:hAnsi="Book Antiqua" w:cs="Arial"/>
          <w:i/>
          <w:sz w:val="24"/>
          <w:szCs w:val="24"/>
        </w:rPr>
        <w:t>ma’rifat</w:t>
      </w:r>
      <w:r w:rsidRPr="0063725A">
        <w:rPr>
          <w:rFonts w:ascii="Book Antiqua" w:hAnsi="Book Antiqua" w:cs="Arial"/>
          <w:sz w:val="24"/>
          <w:szCs w:val="24"/>
        </w:rPr>
        <w:t xml:space="preserve"> yang memiliki kedeketan dengan pengetahuan Tuhan. Hal ini seperti pemahaman kaum sufi yang lebih dekat pada kehidupan batiniah, karena hanya dengan kesucian hati nurani kebenaran dapat diperoleh. Kebenaran sejati dari Tuhan hanya dapat dirasakan oleh hati nurani, bukan yang tampak secara nyata atau berupa konsep-konsep yang dapat diterima secara logis. </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Hati nurani dalam diri manusia secara umum dapat dipahami dari sebagian besar manusia yang mengharapkan manusia yang lain untuk melakukan sesuatu </w:t>
      </w:r>
      <w:r w:rsidRPr="0063725A">
        <w:rPr>
          <w:rFonts w:ascii="Book Antiqua" w:eastAsia="Times New Roman" w:hAnsi="Book Antiqua" w:cs="Arial"/>
          <w:sz w:val="24"/>
          <w:szCs w:val="24"/>
        </w:rPr>
        <w:lastRenderedPageBreak/>
        <w:t>yang dirasakan baik, termasuk dalam hal ini adalah untuk memenuhi tugas-tugas manusia yang terkait dengan kewajiban-kewajiban yang harus memiliki nilai kesesuaian dengan perasaan dasar manusia terkait dengan benar dan salah (</w:t>
      </w:r>
      <w:r w:rsidRPr="0063725A">
        <w:rPr>
          <w:rFonts w:ascii="Book Antiqua" w:eastAsia="Times New Roman" w:hAnsi="Book Antiqua" w:cs="Arial"/>
          <w:i/>
          <w:sz w:val="24"/>
          <w:szCs w:val="24"/>
        </w:rPr>
        <w:t>sense of right and wrong</w:t>
      </w:r>
      <w:r w:rsidRPr="0063725A">
        <w:rPr>
          <w:rFonts w:ascii="Book Antiqua" w:eastAsia="Times New Roman" w:hAnsi="Book Antiqua" w:cs="Arial"/>
          <w:sz w:val="24"/>
          <w:szCs w:val="24"/>
        </w:rPr>
        <w:t>) di mana seseorang harus mengikutinya. Menurut Richard G. Singer dan John Q. La Fond, berhubungan dengan perasaan dasar manusia mengenai benar dan salah terdapat konsep yangmengkualifikasikannya ke dalam bentuk penilaian hati nurani.</w:t>
      </w:r>
      <w:r w:rsidRPr="0063725A">
        <w:rPr>
          <w:rStyle w:val="FootnoteReference"/>
          <w:rFonts w:ascii="Book Antiqua" w:eastAsia="Times New Roman" w:hAnsi="Book Antiqua" w:cs="Arial"/>
          <w:sz w:val="24"/>
          <w:szCs w:val="24"/>
        </w:rPr>
        <w:footnoteReference w:id="201"/>
      </w:r>
      <w:r w:rsidRPr="0063725A">
        <w:rPr>
          <w:rFonts w:ascii="Book Antiqua" w:eastAsia="Times New Roman" w:hAnsi="Book Antiqua" w:cs="Arial"/>
          <w:sz w:val="24"/>
          <w:szCs w:val="24"/>
        </w:rPr>
        <w:t>Pemahaman demikian terhadap hati nurani memang bukan tanpa alasan, karena hati nurani pada dasarnya sering digunakan tanpa sadar oleh manusia sebagai tolok ukur pertama dan terakhir yang bersifat tetap, utuh dan menyeluruh untuk menentukan pengetahuan yang dirasakan benar. Dalam diri manusia, terhadap segala permasalahan hukum yang terjadi bukan hanya akan mendapatkan penilaian empirisoleh inderasecara induktifdan logika rasional oleh akal secara deduktif, akan tapi juga mendapatkan penilaian perasaan sebagaimana yang terdapat dalam benak batin hati nurani manusia secara intuisi. Banyak permasalahan hukum yang dinilai benar secara empiris dalam kehidupan masyarakat dan juga dinilai benar secara logis dalam sistem norma hukum positif peraturan perundang-undangan, akan tetapi masih mengusik ketenangan dan ketentraman dalam hati nurani.</w:t>
      </w:r>
    </w:p>
    <w:p w:rsidR="00D72575" w:rsidRPr="0063725A" w:rsidRDefault="00D72575" w:rsidP="00D72575">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Dalam memahami epistemologi ilmu hukum yang dikembangkan dengan sarana penalaran hati nurani seperti terdapat dalam teori hukum kodrat, meskipun dapat dilakukan dengan menggunakan metode inferensi dengan penarikan kesimpulan secara deduktif, tetapi hal ini berakibat meletakkan nilai utama dan penting dari hati nurani pada tataran yang lebih rendah. Nilai-nilai kebenaran </w:t>
      </w:r>
      <w:r w:rsidRPr="0063725A">
        <w:rPr>
          <w:rFonts w:ascii="Book Antiqua" w:eastAsia="Times New Roman" w:hAnsi="Book Antiqua" w:cs="Arial"/>
          <w:sz w:val="24"/>
          <w:szCs w:val="24"/>
        </w:rPr>
        <w:lastRenderedPageBreak/>
        <w:t>hukum yang bersifat umum dijadikan sebagai premis mayor untuk menguji premis minor yang terdiri dari aspek kebenaran suatu norma yang lazim dijadikan sebagai pedoman sistem norma hukum positif dalam peraturan perundang-undangan terhadap suatu perilaku empiris. Pemahaman ini tidak berhenti pada kesesuaian antara realitas perilaku empiris dengan peraturan perundang-undangan tersebut, akan tetapi dilanjutkan ketahap berikutnya yaitu dengan menguji kesesuaian antara hasil dari kajian dalam peraturan perundang-undangan tersebut dengan nilai-nilai kebenaran hati nurani dalam hukum.</w:t>
      </w:r>
      <w:r w:rsidRPr="0063725A">
        <w:rPr>
          <w:rStyle w:val="FootnoteReference"/>
          <w:rFonts w:ascii="Book Antiqua" w:eastAsia="Times New Roman" w:hAnsi="Book Antiqua" w:cs="Arial"/>
          <w:sz w:val="24"/>
          <w:szCs w:val="24"/>
        </w:rPr>
        <w:footnoteReference w:id="202"/>
      </w:r>
      <w:r w:rsidRPr="0063725A">
        <w:rPr>
          <w:rFonts w:ascii="Book Antiqua" w:eastAsia="Times New Roman" w:hAnsi="Book Antiqua" w:cs="Arial"/>
          <w:sz w:val="24"/>
          <w:szCs w:val="24"/>
        </w:rPr>
        <w:t>Dalam hal ini jelas bahwa proses pencarian kebenaran hukum tidak berhenti pada logika rasional akal, tetapidiakhiri dengan suatu ukuran dengan cara penalaran yang lebih tinggi dari cara kerja akal (yaitu hati nurani). Dengan demikian, maka untuk memahami epistemologi ilmu hukum yang dikembangkan dengan sarana penalaran hati nurani dapat dilakukan dengan dua metode penalaran, yaitu melalui metode inferensi akal secara logika rasional dan melalui intuisi hati nurani yang memiliki jangkauan tingkat penalaran lebih tinggi. Metode penalaran intuisi inilah yang sebenarnya menjadi karakter yang khas dari epistemologi yang dikembangkan dengan sarana penalaran hati nurani, sehingga tidak mendasarkan pada metode inferensi yang telah digunakan oleh cara kerja logika rasional akal.</w:t>
      </w:r>
    </w:p>
    <w:p w:rsidR="00D72575" w:rsidRPr="0063725A" w:rsidRDefault="00A763DC" w:rsidP="00D72575">
      <w:pPr>
        <w:tabs>
          <w:tab w:val="right" w:leader="dot" w:pos="7938"/>
        </w:tabs>
        <w:spacing w:after="0" w:line="480" w:lineRule="auto"/>
        <w:jc w:val="both"/>
        <w:rPr>
          <w:rFonts w:ascii="Book Antiqua" w:hAnsi="Book Antiqua" w:cs="Arial"/>
          <w:sz w:val="24"/>
          <w:szCs w:val="24"/>
        </w:rPr>
      </w:pPr>
      <w:r>
        <w:rPr>
          <w:rFonts w:ascii="Book Antiqua" w:hAnsi="Book Antiqua" w:cs="Arial"/>
          <w:sz w:val="24"/>
          <w:szCs w:val="24"/>
        </w:rPr>
        <w:t xml:space="preserve">        </w:t>
      </w:r>
      <w:r w:rsidR="00D72575" w:rsidRPr="0063725A">
        <w:rPr>
          <w:rFonts w:ascii="Book Antiqua" w:hAnsi="Book Antiqua" w:cs="Arial"/>
          <w:sz w:val="24"/>
          <w:szCs w:val="24"/>
        </w:rPr>
        <w:t>Penalaran intuisi hati nurani menurut Hendry Bergsonmemiliki kemampuan untuk dapat memahami suatu objek pengetahuan secara utuh, tetap dan menyeluruh.</w:t>
      </w:r>
      <w:r w:rsidR="00D72575" w:rsidRPr="0063725A">
        <w:rPr>
          <w:rStyle w:val="FootnoteReference"/>
          <w:rFonts w:ascii="Book Antiqua" w:hAnsi="Book Antiqua" w:cs="Arial"/>
          <w:sz w:val="24"/>
          <w:szCs w:val="24"/>
        </w:rPr>
        <w:footnoteReference w:id="203"/>
      </w:r>
      <w:r w:rsidR="00D72575" w:rsidRPr="0063725A">
        <w:rPr>
          <w:rFonts w:ascii="Book Antiqua" w:hAnsi="Book Antiqua" w:cs="Arial"/>
          <w:sz w:val="24"/>
          <w:szCs w:val="24"/>
        </w:rPr>
        <w:t xml:space="preserve">Untuk melakukan proses penalaran intuisi hati nurani, seseorang harus berusaha melalui proses perenungan yang mendalam atau kontemplasi </w:t>
      </w:r>
      <w:r w:rsidR="00D72575" w:rsidRPr="0063725A">
        <w:rPr>
          <w:rFonts w:ascii="Book Antiqua" w:hAnsi="Book Antiqua" w:cs="Arial"/>
          <w:sz w:val="24"/>
          <w:szCs w:val="24"/>
        </w:rPr>
        <w:lastRenderedPageBreak/>
        <w:t>terhadap suatu objek permasalahan, seperti dikemukakan oleh al-Ghazali.</w:t>
      </w:r>
      <w:r w:rsidR="00D72575" w:rsidRPr="0063725A">
        <w:rPr>
          <w:rStyle w:val="FootnoteReference"/>
          <w:rFonts w:ascii="Book Antiqua" w:hAnsi="Book Antiqua" w:cs="Arial"/>
          <w:sz w:val="24"/>
          <w:szCs w:val="24"/>
        </w:rPr>
        <w:footnoteReference w:id="204"/>
      </w:r>
      <w:r w:rsidR="00D72575" w:rsidRPr="0063725A">
        <w:rPr>
          <w:rFonts w:ascii="Book Antiqua" w:hAnsi="Book Antiqua" w:cs="Arial"/>
          <w:sz w:val="24"/>
          <w:szCs w:val="24"/>
        </w:rPr>
        <w:t xml:space="preserve">Epistemologi yang dikembangkan dengan sarana penalaran hati nurani yang dilakukan melalui metode intuisi bersifat personal dan tidak dapat diramalkan. Intuisi sebagai dasar untuk membentuk pengetahuan yang berguna dalam kehidupan manusia sering diabaikan, padahal intuisi dapat bermanfaat sebagai hipotesis bagi analisis selanjutnya dalam menentukan benar tidaknya suatu pengetahuan yang diperoleh. Intuisi dapat membantu dalam memperoleh kebenaran pengetahuan analitik dari logika akal dan realitas nyata inderawi. Validitas keabsahan kebenaran hukum yang dihasilkan dari penalaran intuisi hati nurani sebenarnya tidak dapat ditentukan secara nyata dan pasti, karena hal ini terkait dengan sifat intersubjektif dari kemampuan personal masing-masing manusia untuk melakukan olah ruhani. Dalam hal untuk memperoleh tanda-tanda kebenaran hukum dari epistemologi yang dikembangkan melalui sarana penalaran hati nurani dapat dilakukan dengan menggunakan perasaan yang terdapat dalam benak batin manusia. Perasaan merupakan suatu proses penemuan kebenaran secara tetap, utuh dan menyeluruh dari suatu objek permasalahan hukum yang dikaji, karena perasaan yang tidak berdasarkan metode penalaran tertentu seperti deduktif dan induktif. Perasaan dalam tahap intuisi merupakan suatu kegiatan bernalar non-analitik yang tidak mendasarkan pada pola sistem berpikir tertentu, tetapi dapat dilakukan berdasarkan nilai-nilai agama yang mampu membimbing menuju jalan spiritual. Perasaan sebagai validitas untuk mengukur keabsahan hati nurani dalam kehidupan manusiamemiliki peranan yang sangat penting, seperti </w:t>
      </w:r>
      <w:r w:rsidR="00D72575" w:rsidRPr="0063725A">
        <w:rPr>
          <w:rFonts w:ascii="Book Antiqua" w:hAnsi="Book Antiqua" w:cs="Arial"/>
          <w:sz w:val="24"/>
          <w:szCs w:val="24"/>
        </w:rPr>
        <w:lastRenderedPageBreak/>
        <w:t>perasaan bersalah, malu dan menyesal apabila seseorang telah melakukan perbuatan yang tidak baik.</w:t>
      </w:r>
      <w:r w:rsidR="00D72575" w:rsidRPr="0063725A">
        <w:rPr>
          <w:rStyle w:val="FootnoteReference"/>
          <w:rFonts w:ascii="Book Antiqua" w:hAnsi="Book Antiqua" w:cs="Arial"/>
          <w:sz w:val="24"/>
          <w:szCs w:val="24"/>
        </w:rPr>
        <w:footnoteReference w:id="205"/>
      </w:r>
    </w:p>
    <w:p w:rsidR="00D72575"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melalui sarana penalaran hati nurani seperti halnya dalam ilmu pengetahuan yang lain, dapat dijelaskan melalui teori quantum dan realtivitas. Hal ini seperti dijelaskan dalam kerangka teori di depan, bahwa teori quantum dapat digunakan untuk menjelaskan bagaimana cara kerja hati nurani dengan menunjukkan bahwa partikel-partikel subatom atau dalam hal ini adalah suatu kajian terkait dengan entitas hati nurani yang tidak berbentuk secara fisik (empiris) dan juga tidak bersifat jelas dan pasti (rasional), serta bukanlah butir-butir materi yang bersifat nyata dan terpisah, akan tetapi entitas hati nurani merupakan pola-pola probabilitas yang menunjukkan kesalingberhubungan dalam suatu jaring-jaring kosmik yang tidak dapat dipisah-pisahkan yang mencakup adanya kesadaran manusia sebagai pengamatnya.</w:t>
      </w:r>
      <w:r w:rsidRPr="0063725A">
        <w:rPr>
          <w:rStyle w:val="FootnoteReference"/>
          <w:rFonts w:ascii="Book Antiqua" w:hAnsi="Book Antiqua" w:cs="Arial"/>
          <w:sz w:val="24"/>
          <w:szCs w:val="24"/>
        </w:rPr>
        <w:footnoteReference w:id="206"/>
      </w:r>
      <w:r w:rsidRPr="0063725A">
        <w:rPr>
          <w:rFonts w:ascii="Book Antiqua" w:hAnsi="Book Antiqua" w:cs="Arial"/>
          <w:sz w:val="24"/>
          <w:szCs w:val="24"/>
        </w:rPr>
        <w:t>Teori relativitas dapat digunakan untuk menjelaskan hati nurani dalam membuat suatu jaring-jaring kosmik menjadi hidup dengan mengungkapkan ciri dinamis intrinsiknya untuk menunjukkan bahwa aktivitasnya adalah merupakan suatu entitas keberadaanya, artinya dalam hal ini adalah bahwa hati nurani tidak dapat dipahami secara konkrit (empiris) dan pasti (rasional), karena selalu berubah dalam pergerakan guna menjalankan aktivitas keterhubungannya dengan fenomena yang lain dan itulah sebenarnya metode yang mampu untuk menunjukkan entitas keberadaan hati nurani dengan cara kerja epistemologinya.</w:t>
      </w:r>
      <w:r w:rsidRPr="0063725A">
        <w:rPr>
          <w:rStyle w:val="FootnoteReference"/>
          <w:rFonts w:ascii="Book Antiqua" w:hAnsi="Book Antiqua" w:cs="Arial"/>
          <w:sz w:val="24"/>
          <w:szCs w:val="24"/>
        </w:rPr>
        <w:footnoteReference w:id="207"/>
      </w:r>
    </w:p>
    <w:p w:rsidR="00A763DC" w:rsidRPr="0063725A" w:rsidRDefault="00A763DC" w:rsidP="00D72575">
      <w:pPr>
        <w:tabs>
          <w:tab w:val="right" w:leader="dot" w:pos="7938"/>
        </w:tabs>
        <w:spacing w:after="0" w:line="480" w:lineRule="auto"/>
        <w:jc w:val="both"/>
        <w:rPr>
          <w:rFonts w:ascii="Book Antiqua" w:hAnsi="Book Antiqua" w:cs="Arial"/>
          <w:sz w:val="24"/>
          <w:szCs w:val="24"/>
        </w:rPr>
      </w:pP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b/>
          <w:sz w:val="24"/>
          <w:szCs w:val="24"/>
        </w:rPr>
        <w:lastRenderedPageBreak/>
        <w:t>c. Kemanfaatan epistemologi ilmu hukum dengan sarana penalaran hati nurani</w:t>
      </w:r>
    </w:p>
    <w:p w:rsidR="00D72575" w:rsidRPr="0063725A" w:rsidRDefault="00D72575" w:rsidP="00D72575">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 xml:space="preserve">          Epistemologi ilmu hukum yang dikembangkan dengan sarana penalaran hati nurani memiliki beberapa manfaat. </w:t>
      </w:r>
      <w:r w:rsidRPr="0063725A">
        <w:rPr>
          <w:rFonts w:ascii="Book Antiqua" w:hAnsi="Book Antiqua" w:cs="Arial"/>
          <w:i/>
          <w:sz w:val="24"/>
          <w:szCs w:val="24"/>
        </w:rPr>
        <w:t>Pertama</w:t>
      </w:r>
      <w:r w:rsidRPr="0063725A">
        <w:rPr>
          <w:rFonts w:ascii="Book Antiqua" w:hAnsi="Book Antiqua" w:cs="Arial"/>
          <w:sz w:val="24"/>
          <w:szCs w:val="24"/>
        </w:rPr>
        <w:t xml:space="preserve">, kebenaran yang diperoleh dari hati nurani memiliki kedalaman pengetahuan yang khas dan unik dengan kehidupan batiniah yang tidak kasad mata secara materiil, karena intuisi hati nurani mampu menggali dan memperoleh kebenaran tersembunyi dalam perasaanbatinyang tidak dapat dilakukan metode induktif oleh indera dan deduktif oleh akal. </w:t>
      </w:r>
      <w:r w:rsidRPr="0063725A">
        <w:rPr>
          <w:rFonts w:ascii="Book Antiqua" w:hAnsi="Book Antiqua" w:cs="Arial"/>
          <w:i/>
          <w:sz w:val="24"/>
          <w:szCs w:val="24"/>
        </w:rPr>
        <w:t>Kedua</w:t>
      </w:r>
      <w:r w:rsidRPr="0063725A">
        <w:rPr>
          <w:rFonts w:ascii="Book Antiqua" w:hAnsi="Book Antiqua" w:cs="Arial"/>
          <w:sz w:val="24"/>
          <w:szCs w:val="24"/>
        </w:rPr>
        <w:t xml:space="preserve">, kebenaran hati nurani bersifat langsung, utuh dan menyeluruh dariproses pengalaman manusiasendiri, baik secara lahir dan batin. Oleh karena itu, kebenaran yang dihasilkan lebih bermakna dan tidak dibatasisuatu kepentingan tertentu. </w:t>
      </w:r>
      <w:r w:rsidRPr="0063725A">
        <w:rPr>
          <w:rFonts w:ascii="Book Antiqua" w:hAnsi="Book Antiqua" w:cs="Arial"/>
          <w:i/>
          <w:sz w:val="24"/>
          <w:szCs w:val="24"/>
        </w:rPr>
        <w:t>Ketiga</w:t>
      </w:r>
      <w:r w:rsidRPr="0063725A">
        <w:rPr>
          <w:rFonts w:ascii="Book Antiqua" w:hAnsi="Book Antiqua" w:cs="Arial"/>
          <w:sz w:val="24"/>
          <w:szCs w:val="24"/>
        </w:rPr>
        <w:t xml:space="preserve">, pemahaman epistemologi ilmu hukum yang dikembangkan dengan sarana penalaran hati nurani dapat dikembangkan sesuai kemauan dan kemampuan manusia, karena bersifat </w:t>
      </w:r>
      <w:r w:rsidRPr="0063725A">
        <w:rPr>
          <w:rFonts w:ascii="Book Antiqua" w:hAnsi="Book Antiqua" w:cs="Arial"/>
          <w:i/>
          <w:sz w:val="24"/>
          <w:szCs w:val="24"/>
        </w:rPr>
        <w:t>self-object-knowledge</w:t>
      </w:r>
      <w:r w:rsidRPr="0063725A">
        <w:rPr>
          <w:rFonts w:ascii="Book Antiqua" w:hAnsi="Book Antiqua" w:cs="Arial"/>
          <w:sz w:val="24"/>
          <w:szCs w:val="24"/>
        </w:rPr>
        <w:t xml:space="preserve">. Kebenaran yang dihasilkan tidak hanya memiliki nilai yang bersifat objektif dan logis,tetapi dapat menciptakan ketentraman dan ketenangan batin. </w:t>
      </w:r>
      <w:r w:rsidRPr="0063725A">
        <w:rPr>
          <w:rFonts w:ascii="Book Antiqua" w:hAnsi="Book Antiqua" w:cs="Arial"/>
          <w:i/>
          <w:sz w:val="24"/>
          <w:szCs w:val="24"/>
        </w:rPr>
        <w:t>Keempat</w:t>
      </w:r>
      <w:r w:rsidRPr="0063725A">
        <w:rPr>
          <w:rFonts w:ascii="Book Antiqua" w:hAnsi="Book Antiqua" w:cs="Arial"/>
          <w:sz w:val="24"/>
          <w:szCs w:val="24"/>
        </w:rPr>
        <w:t xml:space="preserve">, kebenaran epistemologi ilmu hukum yang dikembangkan dengan sarana penalaran hati nurani sulit atau tidak dapat dibohongiserta diarahkan dan dimanipulasi sedemikian rupa, sehingga kemurnian autentisitas dan orisinalitasnya dapat terjaga. Kebenaran hati nurani lebih berpihak kepada nilai-nilai yang dirasakan baik, bukan pada pengakuan terhadap tradisi kebiasaan sebagai realitas empirisataukesesuaiannya secara logis dalam sistem norma hukum positif peraturan perundang-undangan, karena realitas empiris hukum di masyarakat dapat saja salah memahami hakikat hukum yang sebenarnya dan sistem norma hukum positif dalam peraturan perundang-undangan dapat </w:t>
      </w:r>
      <w:r w:rsidRPr="0063725A">
        <w:rPr>
          <w:rFonts w:ascii="Book Antiqua" w:hAnsi="Book Antiqua" w:cs="Arial"/>
          <w:sz w:val="24"/>
          <w:szCs w:val="24"/>
        </w:rPr>
        <w:lastRenderedPageBreak/>
        <w:t xml:space="preserve">diinterfensi oleh pengaruh otoritas kepentingan penguasa. </w:t>
      </w:r>
      <w:r w:rsidRPr="0063725A">
        <w:rPr>
          <w:rFonts w:ascii="Book Antiqua" w:hAnsi="Book Antiqua" w:cs="Arial"/>
          <w:i/>
          <w:sz w:val="24"/>
          <w:szCs w:val="24"/>
        </w:rPr>
        <w:t>Kelima</w:t>
      </w:r>
      <w:r w:rsidRPr="0063725A">
        <w:rPr>
          <w:rFonts w:ascii="Book Antiqua" w:hAnsi="Book Antiqua" w:cs="Arial"/>
          <w:sz w:val="24"/>
          <w:szCs w:val="24"/>
        </w:rPr>
        <w:t>, epistemologi hati nurani lebih dekat pada kehidupan ruhani untuk menuntun menuju jalanTuhan. Dimensi spiritual Ketuhanan dalam penalaran hati nurani dapat</w:t>
      </w:r>
      <w:r w:rsidR="001F54D0">
        <w:rPr>
          <w:rFonts w:ascii="Book Antiqua" w:hAnsi="Book Antiqua" w:cs="Arial"/>
          <w:sz w:val="24"/>
          <w:szCs w:val="24"/>
        </w:rPr>
        <w:t xml:space="preserve"> </w:t>
      </w:r>
      <w:r w:rsidRPr="0063725A">
        <w:rPr>
          <w:rFonts w:ascii="Book Antiqua" w:hAnsi="Book Antiqua" w:cs="Arial"/>
          <w:sz w:val="24"/>
          <w:szCs w:val="24"/>
        </w:rPr>
        <w:t>berkembang untuk membangun</w:t>
      </w:r>
      <w:r w:rsidR="001F54D0">
        <w:rPr>
          <w:rFonts w:ascii="Book Antiqua" w:hAnsi="Book Antiqua" w:cs="Arial"/>
          <w:sz w:val="24"/>
          <w:szCs w:val="24"/>
        </w:rPr>
        <w:t xml:space="preserve"> </w:t>
      </w:r>
      <w:r w:rsidRPr="0063725A">
        <w:rPr>
          <w:rFonts w:ascii="Book Antiqua" w:hAnsi="Book Antiqua" w:cs="Arial"/>
          <w:sz w:val="24"/>
          <w:szCs w:val="24"/>
        </w:rPr>
        <w:t>kehidupan</w:t>
      </w:r>
      <w:r w:rsidR="001F54D0">
        <w:rPr>
          <w:rFonts w:ascii="Book Antiqua" w:hAnsi="Book Antiqua" w:cs="Arial"/>
          <w:sz w:val="24"/>
          <w:szCs w:val="24"/>
        </w:rPr>
        <w:t xml:space="preserve"> </w:t>
      </w:r>
      <w:r w:rsidRPr="0063725A">
        <w:rPr>
          <w:rFonts w:ascii="Book Antiqua" w:hAnsi="Book Antiqua" w:cs="Arial"/>
          <w:sz w:val="24"/>
          <w:szCs w:val="24"/>
        </w:rPr>
        <w:t xml:space="preserve">yang religius sebagai penyeimbang dari realitas empiris dalam pergaulan hidup di masyarakat dan logika rasional akal manusia. </w:t>
      </w:r>
    </w:p>
    <w:p w:rsidR="008258F9" w:rsidRDefault="008258F9"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Default="0063725A" w:rsidP="008258F9">
      <w:pPr>
        <w:spacing w:after="0" w:line="240" w:lineRule="auto"/>
        <w:jc w:val="both"/>
        <w:rPr>
          <w:rFonts w:ascii="Book Antiqua" w:hAnsi="Book Antiqua" w:cs="Times New Roman"/>
        </w:rPr>
      </w:pPr>
    </w:p>
    <w:p w:rsidR="0063725A" w:rsidRPr="008258F9" w:rsidRDefault="0063725A"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Default="00A763DC" w:rsidP="008258F9">
      <w:pPr>
        <w:spacing w:after="0" w:line="240" w:lineRule="auto"/>
        <w:jc w:val="center"/>
        <w:rPr>
          <w:rFonts w:ascii="Book Antiqua" w:hAnsi="Book Antiqua" w:cs="Times New Roman"/>
          <w:b/>
          <w:sz w:val="32"/>
          <w:szCs w:val="32"/>
        </w:rPr>
      </w:pPr>
    </w:p>
    <w:p w:rsidR="00A763DC" w:rsidRPr="0030390C" w:rsidRDefault="00A763DC" w:rsidP="008258F9">
      <w:pPr>
        <w:spacing w:after="0" w:line="240" w:lineRule="auto"/>
        <w:jc w:val="center"/>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10</w:t>
      </w:r>
      <w:r w:rsidRPr="0030390C">
        <w:rPr>
          <w:rFonts w:ascii="Book Antiqua" w:hAnsi="Book Antiqua" w:cs="Times New Roman"/>
          <w:b/>
          <w:sz w:val="32"/>
          <w:szCs w:val="32"/>
        </w:rPr>
        <w:t xml:space="preserve"> </w:t>
      </w:r>
      <w:r>
        <w:rPr>
          <w:rFonts w:ascii="Book Antiqua" w:hAnsi="Book Antiqua" w:cs="Times New Roman"/>
          <w:b/>
          <w:sz w:val="32"/>
          <w:szCs w:val="32"/>
        </w:rPr>
        <w:t>Dialektik Nalar Empirism Dan Rasional Hukum</w:t>
      </w:r>
    </w:p>
    <w:p w:rsidR="0063725A" w:rsidRDefault="0063725A" w:rsidP="008258F9">
      <w:pPr>
        <w:spacing w:after="0" w:line="240" w:lineRule="auto"/>
        <w:jc w:val="center"/>
        <w:rPr>
          <w:rFonts w:ascii="Book Antiqua" w:hAnsi="Book Antiqua" w:cs="Times New Roman"/>
          <w:b/>
          <w:sz w:val="32"/>
          <w:szCs w:val="32"/>
        </w:rPr>
      </w:pPr>
    </w:p>
    <w:p w:rsidR="002145C9" w:rsidRPr="0063725A" w:rsidRDefault="0063725A" w:rsidP="002145C9">
      <w:pPr>
        <w:tabs>
          <w:tab w:val="right" w:leader="dot" w:pos="7938"/>
        </w:tabs>
        <w:spacing w:after="0" w:line="480" w:lineRule="auto"/>
        <w:jc w:val="both"/>
        <w:rPr>
          <w:rFonts w:ascii="Book Antiqua" w:eastAsia="Times New Roman" w:hAnsi="Book Antiqua" w:cs="Arial"/>
          <w:sz w:val="24"/>
          <w:szCs w:val="24"/>
        </w:rPr>
      </w:pPr>
      <w:r>
        <w:rPr>
          <w:rFonts w:ascii="Calibri" w:eastAsia="Times New Roman" w:hAnsi="Calibri" w:cs="Arial"/>
          <w:sz w:val="24"/>
          <w:szCs w:val="24"/>
        </w:rPr>
        <w:tab/>
      </w:r>
      <w:r w:rsidRPr="0063725A">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 xml:space="preserve">Dalam dunia hukum, akal telah menjadi </w:t>
      </w:r>
      <w:r w:rsidR="002145C9" w:rsidRPr="0063725A">
        <w:rPr>
          <w:rFonts w:ascii="Book Antiqua" w:eastAsia="Times New Roman" w:hAnsi="Book Antiqua" w:cs="Arial"/>
          <w:i/>
          <w:sz w:val="24"/>
          <w:szCs w:val="24"/>
        </w:rPr>
        <w:t>main-stream</w:t>
      </w:r>
      <w:r w:rsidR="002145C9" w:rsidRPr="0063725A">
        <w:rPr>
          <w:rFonts w:ascii="Book Antiqua" w:eastAsia="Times New Roman" w:hAnsi="Book Antiqua" w:cs="Arial"/>
          <w:sz w:val="24"/>
          <w:szCs w:val="24"/>
        </w:rPr>
        <w:t xml:space="preserve"> yang dapat dikatakan paling mendominasi peranannya. Modernitas global yang didukung dengan kemajuan iptek telah meletakkan akal sebagai instrumen yang terkait erat dengan sifat ilmu hukum yang dapat dipahami secara ilmiah. Akal sebagai sarana penalaran dalam mengembangkan epistemologi ilmu hukum sejak kelahirannya hingga pada masa perkembangan banyak diwarnai konflik dengan sarana penalaran indera dalam mengembangkan epistemologi ilmu hukum. Hal ini dapat dilihat dari pergulatan yang terjadi antara teori positivisme hukum yang lebih cenderung menggunakan sarana penalaran akal untuk memahami hukum secara rasional dengan mahzab sejarah hukum yang lebih cenderung menggunakan indera untuk melihat realitas empiris hukumdalam tradisi kebiasaan di masyarakat.Sikap saling mengklaim kebenaran (</w:t>
      </w:r>
      <w:r w:rsidR="002145C9" w:rsidRPr="0063725A">
        <w:rPr>
          <w:rFonts w:ascii="Book Antiqua" w:eastAsia="Times New Roman" w:hAnsi="Book Antiqua" w:cs="Arial"/>
          <w:i/>
          <w:sz w:val="24"/>
          <w:szCs w:val="24"/>
        </w:rPr>
        <w:t>truth claim</w:t>
      </w:r>
      <w:r w:rsidR="002145C9" w:rsidRPr="0063725A">
        <w:rPr>
          <w:rFonts w:ascii="Book Antiqua" w:eastAsia="Times New Roman" w:hAnsi="Book Antiqua" w:cs="Arial"/>
          <w:sz w:val="24"/>
          <w:szCs w:val="24"/>
        </w:rPr>
        <w:t>) antara epistemologi ilmu hukum tersebut dalam rangka untuk memperebutkan apa yang sebenarnya menjadi objek epistemologi ilmu hukum, metode penalaran yang digunakan dan hasil kemanfaatan yang diperoleh. Masing-masing epistemologi ilmu hukum tersebut memiliki cara pandang yang berbeda dalam memahami hukum, hal ini seperti dikemukakan Frederick Schauer and Barbara A. Spellman tentang adanya kekuatan yang saling menarik antara sifat generalitas dan kekhususan dalam hukum,</w:t>
      </w:r>
      <w:r w:rsidR="002145C9" w:rsidRPr="0063725A">
        <w:rPr>
          <w:rStyle w:val="FootnoteReference"/>
          <w:rFonts w:ascii="Book Antiqua" w:eastAsia="Times New Roman" w:hAnsi="Book Antiqua" w:cs="Arial"/>
          <w:sz w:val="24"/>
          <w:szCs w:val="24"/>
        </w:rPr>
        <w:footnoteReference w:id="208"/>
      </w:r>
      <w:r w:rsidR="002145C9" w:rsidRPr="0063725A">
        <w:rPr>
          <w:rFonts w:ascii="Book Antiqua" w:eastAsia="Times New Roman" w:hAnsi="Book Antiqua" w:cs="Arial"/>
          <w:sz w:val="24"/>
          <w:szCs w:val="24"/>
        </w:rPr>
        <w:t xml:space="preserve"> sehingga dalam upaya mempertahankan masing-masing kebenaran ilmu hukum yang dipahami dapat menimbulkan sifat yang ambivalensi.  </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lastRenderedPageBreak/>
        <w:tab/>
        <w:t xml:space="preserve">          Indera dan akal sebagai sarana penalaran epistemologi ilmu hukum memiliki pandangan yang berbeda terhadap objek yang dimaksud hukum. Objek epistemologi ilmu hukum yang dikembangkan dengan sarana penalaran indera sebagaimana dalam mahzab sejarah hukum adalah tradisi kebiasaan atau budaya dalam pergaulan hidup di masyarakat, sedangkan objek epistemologi ilmu hukum yang dikembangkan dengan sarana penalaran akal sebagaimana dalam teori positivisme hukum adalah sistem norma hukum positif dalam peraturan perundang-undangan. Akal yang menjadi sarana penalaran epistemologi positivisme hukum hanya mengakui objek hukum yang berupa sistem norma hukum positif dalam peraturan perundang-undangan, karena dapat dipahami secara logika rasional dan menolak hukum yang berupa tradisi kebiasaan dalam pergaulan hidup di masyarakat, karena hal itu tidak dapat dipahami secara konsisten yang selalu berubah-ubah sesuai dengan dinamika yang terjadi dalam kehidupan masyarakat.</w:t>
      </w:r>
      <w:r w:rsidRPr="0063725A">
        <w:rPr>
          <w:rStyle w:val="FootnoteReference"/>
          <w:rFonts w:ascii="Book Antiqua" w:eastAsia="Times New Roman" w:hAnsi="Book Antiqua" w:cs="Arial"/>
          <w:sz w:val="24"/>
          <w:szCs w:val="24"/>
        </w:rPr>
        <w:footnoteReference w:id="209"/>
      </w:r>
      <w:r w:rsidR="00B16E59">
        <w:rPr>
          <w:rFonts w:ascii="Book Antiqua" w:eastAsia="Times New Roman" w:hAnsi="Book Antiqua" w:cs="Arial"/>
          <w:sz w:val="24"/>
          <w:szCs w:val="24"/>
        </w:rPr>
        <w:t xml:space="preserve"> </w:t>
      </w:r>
      <w:r w:rsidRPr="0063725A">
        <w:rPr>
          <w:rFonts w:ascii="Book Antiqua" w:eastAsia="Times New Roman" w:hAnsi="Book Antiqua" w:cs="Arial"/>
          <w:sz w:val="24"/>
          <w:szCs w:val="24"/>
        </w:rPr>
        <w:t>Mahzab sejarah hukum dipihak lain menyatakan, bahwa hukum harus dibebaskan dari belenggu positivisme hukum dalam sistem norma hukum posit</w:t>
      </w:r>
      <w:r w:rsidR="00B16E59">
        <w:rPr>
          <w:rFonts w:ascii="Book Antiqua" w:eastAsia="Times New Roman" w:hAnsi="Book Antiqua" w:cs="Arial"/>
          <w:sz w:val="24"/>
          <w:szCs w:val="24"/>
        </w:rPr>
        <w:t xml:space="preserve">if peraturan perundang-undangan </w:t>
      </w:r>
      <w:r w:rsidRPr="0063725A">
        <w:rPr>
          <w:rFonts w:ascii="Book Antiqua" w:eastAsia="Times New Roman" w:hAnsi="Book Antiqua" w:cs="Arial"/>
          <w:sz w:val="24"/>
          <w:szCs w:val="24"/>
        </w:rPr>
        <w:t>dan hukum harus disesuaikan dengan tradisi kebiasaan dalam pergaulan di masyarakat.</w:t>
      </w:r>
      <w:r w:rsidRPr="0063725A">
        <w:rPr>
          <w:rStyle w:val="FootnoteReference"/>
          <w:rFonts w:ascii="Book Antiqua" w:eastAsia="Times New Roman" w:hAnsi="Book Antiqua" w:cs="Arial"/>
          <w:sz w:val="24"/>
          <w:szCs w:val="24"/>
        </w:rPr>
        <w:footnoteReference w:id="210"/>
      </w:r>
    </w:p>
    <w:p w:rsidR="002145C9" w:rsidRPr="0063725A" w:rsidRDefault="002145C9" w:rsidP="002145C9">
      <w:pPr>
        <w:tabs>
          <w:tab w:val="right" w:leader="dot" w:pos="7938"/>
        </w:tabs>
        <w:spacing w:after="0" w:line="480" w:lineRule="auto"/>
        <w:jc w:val="both"/>
        <w:rPr>
          <w:rFonts w:ascii="Book Antiqua"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hAnsi="Book Antiqua" w:cs="Arial"/>
          <w:sz w:val="24"/>
          <w:szCs w:val="24"/>
        </w:rPr>
        <w:t xml:space="preserve">Dalam kancah ilmu pengetahuan secara umum pergulatan antara akal dan indera menjadi perdebatan sengit sepanjang sejarah yang belum selesai. Aristoteles sebagai seorang filsuf klasik Yunani yang pada tahap awal juga mempelopori indera sebagai sarana penalaran dalam mengembangkan epistemologipengetahuan yang </w:t>
      </w:r>
      <w:r w:rsidRPr="0063725A">
        <w:rPr>
          <w:rFonts w:ascii="Book Antiqua" w:hAnsi="Book Antiqua" w:cs="Arial"/>
          <w:sz w:val="24"/>
          <w:szCs w:val="24"/>
        </w:rPr>
        <w:lastRenderedPageBreak/>
        <w:t>benar pada waktu itu menolak pemikiran Plato yang memahami akal sebagai sarana penalaran dalam mengembangkan epistemologi pengetahuan yang benar. Menurut Aristoteles indera merupakan dasar dari semua pengetahuan dan tidak ada pengetahuan lain yang mendahuluinya, termasuk ide-ide yang oleh akal diklaim telah ada sebelum manusia menyatakannya.Akal yang disampaikan Plato hanya akan mendapat pengetahuan dari realitas empiris yang tertangkap oleh indera. Ikhwan al-Shafa juga menyatakan hal yang sama, bahwa seluruh pengetahuan diusahakan dengan melalui indera, Akal dalam proses logika untukmemperoleh pengetahuan pada dasarnyamendasarkan pada objek yang ditangkap indera.</w:t>
      </w:r>
      <w:r w:rsidRPr="0063725A">
        <w:rPr>
          <w:rStyle w:val="FootnoteReference"/>
          <w:rFonts w:ascii="Book Antiqua" w:hAnsi="Book Antiqua" w:cs="Arial"/>
          <w:sz w:val="24"/>
          <w:szCs w:val="24"/>
        </w:rPr>
        <w:footnoteReference w:id="211"/>
      </w:r>
      <w:r w:rsidRPr="0063725A">
        <w:rPr>
          <w:rFonts w:ascii="Book Antiqua" w:eastAsia="Calibri" w:hAnsi="Book Antiqua" w:cs="Arial"/>
          <w:sz w:val="24"/>
          <w:szCs w:val="24"/>
        </w:rPr>
        <w:t xml:space="preserve">John Locke menyatakan, bahwa semua pengetahuan manusia bersumber dari pengalaman inderawi yang dibantu akal. Akal seperti dijelaskan dalam teori </w:t>
      </w:r>
      <w:r w:rsidRPr="0063725A">
        <w:rPr>
          <w:rFonts w:ascii="Book Antiqua" w:eastAsia="Calibri" w:hAnsi="Book Antiqua" w:cs="Arial"/>
          <w:i/>
          <w:sz w:val="24"/>
          <w:szCs w:val="24"/>
        </w:rPr>
        <w:t>tabula rasa</w:t>
      </w:r>
      <w:r w:rsidRPr="0063725A">
        <w:rPr>
          <w:rFonts w:ascii="Book Antiqua" w:eastAsia="Calibri" w:hAnsi="Book Antiqua" w:cs="Arial"/>
          <w:sz w:val="24"/>
          <w:szCs w:val="24"/>
        </w:rPr>
        <w:t xml:space="preserve"> mendapat pengetahuan dari semakin banyaknya pengalaman empiris yang ditangkap indera.</w:t>
      </w:r>
      <w:r w:rsidRPr="0063725A">
        <w:rPr>
          <w:rFonts w:ascii="Book Antiqua" w:eastAsia="Calibri" w:hAnsi="Book Antiqua" w:cs="Arial"/>
          <w:sz w:val="24"/>
          <w:szCs w:val="24"/>
          <w:vertAlign w:val="superscript"/>
        </w:rPr>
        <w:footnoteReference w:id="212"/>
      </w:r>
      <w:r w:rsidRPr="0063725A">
        <w:rPr>
          <w:rFonts w:ascii="Book Antiqua" w:hAnsi="Book Antiqua" w:cs="Arial"/>
          <w:sz w:val="24"/>
          <w:szCs w:val="24"/>
        </w:rPr>
        <w:t xml:space="preserve">Plato mengemukakan, bahwa indera tidak dapat memberikan pengetahuan yang benar, karena sifatnya berubah-ubah, sehingga kebenaran yang dihasilkan dari indera tidak dapat dipercaya dan dipastikan. Plato menawarkan kebenaran diluar pengetahuan indera yang disebut ide yang bersifat tetap dan kekal. Akal dengan logika rasionalnya dapat mengabstraksikan ide-ide dari hal-hal yang bersifat abstrak dan benda yang konkret secara umum, sehingga tidak perlu melakukan pengamatan secara bertahap dan terus-menerus sampai pada kebenaran yang bersifat umum (universal) seperti yang dilakuakan indera untuk memperoleh kebenaran dari generalisasi peristiwa khusus. Al-Kindi dan Ibnu Bajjah juga </w:t>
      </w:r>
      <w:r w:rsidRPr="0063725A">
        <w:rPr>
          <w:rFonts w:ascii="Book Antiqua" w:hAnsi="Book Antiqua" w:cs="Arial"/>
          <w:sz w:val="24"/>
          <w:szCs w:val="24"/>
        </w:rPr>
        <w:lastRenderedPageBreak/>
        <w:t>menyatakan, bahwa akal memiliki kedudukan yang lebih tinggi, karena mampu memperoleh kebenaran dari yang tidak berwujud materi.</w:t>
      </w:r>
      <w:r w:rsidRPr="0063725A">
        <w:rPr>
          <w:rStyle w:val="FootnoteReference"/>
          <w:rFonts w:ascii="Book Antiqua" w:hAnsi="Book Antiqua" w:cs="Arial"/>
          <w:sz w:val="24"/>
          <w:szCs w:val="24"/>
        </w:rPr>
        <w:footnoteReference w:id="213"/>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eastAsia="Calibri" w:hAnsi="Book Antiqua" w:cs="Arial"/>
          <w:sz w:val="24"/>
          <w:szCs w:val="24"/>
        </w:rPr>
        <w:t>Rene Descartes</w:t>
      </w:r>
      <w:r w:rsidRPr="0063725A">
        <w:rPr>
          <w:rFonts w:ascii="Book Antiqua" w:hAnsi="Book Antiqua" w:cs="Arial"/>
          <w:sz w:val="24"/>
          <w:szCs w:val="24"/>
        </w:rPr>
        <w:t xml:space="preserve">seorang filsuf yang menolak pandangan empirismedengan mengemukakan prinsip yang sama dengan paham rasionalisme. Akal </w:t>
      </w:r>
      <w:r w:rsidRPr="0063725A">
        <w:rPr>
          <w:rFonts w:ascii="Book Antiqua" w:eastAsia="Calibri" w:hAnsi="Book Antiqua" w:cs="Arial"/>
          <w:sz w:val="24"/>
          <w:szCs w:val="24"/>
        </w:rPr>
        <w:t xml:space="preserve">menurutnya mampu menghasilkan suatu kebenaran yang bersifat pasti dari pada pengetahuan indera. </w:t>
      </w:r>
      <w:r w:rsidRPr="0063725A">
        <w:rPr>
          <w:rFonts w:ascii="Book Antiqua" w:eastAsia="Calibri" w:hAnsi="Book Antiqua" w:cs="Arial"/>
          <w:i/>
          <w:sz w:val="24"/>
          <w:szCs w:val="24"/>
        </w:rPr>
        <w:t xml:space="preserve">Cogito ergo sum </w:t>
      </w:r>
      <w:r w:rsidRPr="0063725A">
        <w:rPr>
          <w:rFonts w:ascii="Book Antiqua" w:eastAsia="Calibri" w:hAnsi="Book Antiqua" w:cs="Arial"/>
          <w:sz w:val="24"/>
          <w:szCs w:val="24"/>
        </w:rPr>
        <w:t>sebagai istilah yang berhasil mengukuhkan dominasi peran akal daripada indera dalam segala bidang kehidupan manusia sebagai instrumen untuk menggali dan memperoleh pengetahuan yang benar.</w:t>
      </w:r>
      <w:r w:rsidRPr="0063725A">
        <w:rPr>
          <w:rFonts w:ascii="Book Antiqua" w:hAnsi="Book Antiqua"/>
          <w:sz w:val="24"/>
          <w:szCs w:val="24"/>
          <w:vertAlign w:val="superscript"/>
        </w:rPr>
        <w:footnoteReference w:id="214"/>
      </w:r>
      <w:r w:rsidRPr="0063725A">
        <w:rPr>
          <w:rFonts w:ascii="Book Antiqua" w:eastAsia="Calibri" w:hAnsi="Book Antiqua" w:cs="Arial"/>
          <w:sz w:val="24"/>
          <w:szCs w:val="24"/>
        </w:rPr>
        <w:t>Konsep tentang ide-ide menurut kaum rasionalis merupakan hasil karya akal yang mampu menunjukkan keberadaan dirinya sendiri tanpa pengaruh dari eksistensi realitas fisik. Kaum rasionalisme, melalui pernyataan yang mengagung-agungkan kekuatan akaltelah mengingkari pengalaman empiris sebagai pengetahuan yang mampu membawa pada kebenaran konkrit dan nyata. Akal dipahami menjadi dasar penyebab segalanya menjadi ada, artinya eksistensi fisik secara konkrit muncul karena hasil kerja akal secara rasional. Menurut pemahaman kaum rasionalisme, hanya dengan memahami prinsip yang diperoleh melalui penalaran akal secara rasional manusia dapat mengerti kejadian-kejadian yang berlaku dalam alam sekitar, bukan pada realitas nyata secara lahiriah yang sering menipu dengan wujudnya yang sebenarnya tidak pasti.</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Calibri" w:hAnsi="Book Antiqua" w:cs="Arial"/>
          <w:sz w:val="24"/>
          <w:szCs w:val="24"/>
        </w:rPr>
        <w:tab/>
        <w:t xml:space="preserve">          Akal sebagai sarana penalaran manusia untuk mengembangkan epistemologi pengetahuan lebih utama daripada indera juga dikemukakan oleh Abu Bisyr Matta seorang filsuf penganut </w:t>
      </w:r>
      <w:r w:rsidRPr="0063725A">
        <w:rPr>
          <w:rFonts w:ascii="Book Antiqua" w:eastAsia="Calibri" w:hAnsi="Book Antiqua" w:cs="Arial"/>
          <w:i/>
          <w:sz w:val="24"/>
          <w:szCs w:val="24"/>
        </w:rPr>
        <w:t>burhani</w:t>
      </w:r>
      <w:r w:rsidRPr="0063725A">
        <w:rPr>
          <w:rFonts w:ascii="Book Antiqua" w:eastAsia="Calibri" w:hAnsi="Book Antiqua" w:cs="Arial"/>
          <w:sz w:val="24"/>
          <w:szCs w:val="24"/>
        </w:rPr>
        <w:t xml:space="preserve">, menurutnya logika lebih dulu muncul daripada </w:t>
      </w:r>
      <w:r w:rsidRPr="0063725A">
        <w:rPr>
          <w:rFonts w:ascii="Book Antiqua" w:eastAsia="Calibri" w:hAnsi="Book Antiqua" w:cs="Arial"/>
          <w:sz w:val="24"/>
          <w:szCs w:val="24"/>
        </w:rPr>
        <w:lastRenderedPageBreak/>
        <w:t>kata atau bahasa. Artinya logika yang berasal dari akal digunakan untuk menggagali dan memperoleh kebenaran pengetahuan kata dan bahasa. Akal juga mampu menangkap konsep mental dan intelektual yang bersifat non fisik dari data-data yang ditangkap oleh indera.</w:t>
      </w:r>
      <w:r w:rsidRPr="0063725A">
        <w:rPr>
          <w:rStyle w:val="FootnoteReference"/>
          <w:rFonts w:ascii="Book Antiqua" w:eastAsia="Calibri" w:hAnsi="Book Antiqua" w:cs="Arial"/>
          <w:sz w:val="24"/>
          <w:szCs w:val="24"/>
        </w:rPr>
        <w:footnoteReference w:id="215"/>
      </w:r>
      <w:r w:rsidRPr="0063725A">
        <w:rPr>
          <w:rFonts w:ascii="Book Antiqua" w:eastAsia="Calibri" w:hAnsi="Book Antiqua" w:cs="Arial"/>
          <w:sz w:val="24"/>
          <w:szCs w:val="24"/>
        </w:rPr>
        <w:t xml:space="preserve"> Dalam hal ini peran akal telah mengecilkan indera, bahkan pengetahuan yang dapat ditangkap oleh indera merupakan proses kerja yang dihasilkan oleh akal. Pemahaman tersebut ditentang oleh </w:t>
      </w:r>
      <w:r w:rsidRPr="0063725A">
        <w:rPr>
          <w:rFonts w:ascii="Book Antiqua" w:eastAsia="Times New Roman" w:hAnsi="Book Antiqua" w:cs="Arial"/>
          <w:sz w:val="24"/>
          <w:szCs w:val="24"/>
        </w:rPr>
        <w:t xml:space="preserve">Abu Sa’id al-Syirafi yang ahli bahasa penganut </w:t>
      </w:r>
      <w:r w:rsidRPr="0063725A">
        <w:rPr>
          <w:rFonts w:ascii="Book Antiqua" w:eastAsia="Times New Roman" w:hAnsi="Book Antiqua" w:cs="Arial"/>
          <w:i/>
          <w:sz w:val="24"/>
          <w:szCs w:val="24"/>
        </w:rPr>
        <w:t>bayani</w:t>
      </w:r>
      <w:r w:rsidRPr="0063725A">
        <w:rPr>
          <w:rFonts w:ascii="Book Antiqua" w:eastAsia="Times New Roman" w:hAnsi="Book Antiqua" w:cs="Arial"/>
          <w:sz w:val="24"/>
          <w:szCs w:val="24"/>
        </w:rPr>
        <w:t>, menurutnya kata dan bahasa muncul lebih dulu daripada makna.</w:t>
      </w:r>
      <w:r w:rsidRPr="0063725A">
        <w:rPr>
          <w:rStyle w:val="FootnoteReference"/>
          <w:rFonts w:ascii="Book Antiqua" w:eastAsia="Times New Roman" w:hAnsi="Book Antiqua" w:cs="Arial"/>
          <w:sz w:val="24"/>
          <w:szCs w:val="24"/>
        </w:rPr>
        <w:footnoteReference w:id="216"/>
      </w:r>
      <w:r w:rsidRPr="0063725A">
        <w:rPr>
          <w:rFonts w:ascii="Book Antiqua" w:eastAsia="Times New Roman" w:hAnsi="Book Antiqua" w:cs="Arial"/>
          <w:sz w:val="24"/>
          <w:szCs w:val="24"/>
        </w:rPr>
        <w:t xml:space="preserve"> Artinya pengetahuan kata dan bahasa yang berasal dari proses mendengar dan melihat hanya dapat dilakukan oleh indera, sehingga dengan itu akal dapat menghasilkan makna darinya dan tanpa indera untuk mendengar dan melihat, maka akal tidak mendpat pengetahuan yang berupa makna.</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eastAsia="Times New Roman" w:hAnsi="Book Antiqua" w:cs="Arial"/>
          <w:sz w:val="24"/>
          <w:szCs w:val="24"/>
        </w:rPr>
        <w:t xml:space="preserve">Objek epistemologi ilmu hukum yang dikembangkan dengan sarana penalaran indera yang berupa tradisi kebiasaan pergaulan dalam kehidupan masyarakat seperti dianut dalam mahzab sejarah hukum ditolak oleh teori positivisme hukum yang menggunakan akal sebagai sarana untuk mengembangkan epistemologinya. Sarana penalaran indera dalam mahzab sejarah hukum memberi pengaruh kuat terhadap hukum yang menekankan perhatiannya pada tradisi kebiasaan dalam pergaulan hidup di masyarakat, bukan pada sistem norma hukum positif peraturan perundang-undangan.Fakta empiris hukum yang terjadi di masyarakat merupakan dasar dari asumsi pandangan sejarah hukum yang berusaha untuk melihat hukum melalui proses interaksi sosial dalam kehidupan masyarakat. Menurut pandangan mahzab sejarah hukum, hukum tidak dapat berlaku secara umum atau hanya taat </w:t>
      </w:r>
      <w:r w:rsidRPr="0063725A">
        <w:rPr>
          <w:rFonts w:ascii="Book Antiqua" w:eastAsia="Times New Roman" w:hAnsi="Book Antiqua" w:cs="Arial"/>
          <w:sz w:val="24"/>
          <w:szCs w:val="24"/>
        </w:rPr>
        <w:lastRenderedPageBreak/>
        <w:t>pada asas dan sistem norma seperti dalam aliran positivisme hukum. Hukum sebagai realitas sosial masyarakat akan terus berkembang sesuai dengan dinamikakehidupan masyarakat yang melingkupinya. Peraturan perundang-undangan dipandang tidak cukup mampu untuk menjelaskan fakta-fakta hukum yang sangat kompleks variasinya yang hidup dan berkembang dalam tradisi kebiasaan pergaulan hidup di masyarakat.</w:t>
      </w:r>
      <w:r w:rsidRPr="0063725A">
        <w:rPr>
          <w:rStyle w:val="FootnoteReference"/>
          <w:rFonts w:ascii="Book Antiqua" w:eastAsia="Times New Roman" w:hAnsi="Book Antiqua" w:cs="Arial"/>
          <w:sz w:val="24"/>
          <w:szCs w:val="24"/>
        </w:rPr>
        <w:footnoteReference w:id="217"/>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Terhadap pandangan bahwa hukum sebagai tradisi kebiasaan yang ada dalam pergaulan masyarakat, bukan peraturan perundang-undangan lebih percaya pada pengalaman daripada logika akal apriori yang bersifat abstrak. Cara pandang ini juga memberi pengaruh terhadap hukum, yaitu lebih menekankan perhatian pada budaya hukum yang telah dipraktekkan dalam kehidupan masyarakat daripada peraturan perundang-undangan. Epistemologi ilmu hukum yang dikembangkan dengan sarana penalaran indera seperti yang terdapat dalam mahzab sejarah hukum dengan pemahaman tersebut lebih cenderung mengarahkan perhatiannya pada hasil konkrit dari nilai praktis yang diperoleh, bukan pada peraturan perundang-undangan dengan metode </w:t>
      </w:r>
      <w:r w:rsidRPr="0063725A">
        <w:rPr>
          <w:rFonts w:ascii="Book Antiqua" w:eastAsia="Times New Roman" w:hAnsi="Book Antiqua" w:cs="Arial"/>
          <w:i/>
          <w:sz w:val="24"/>
          <w:szCs w:val="24"/>
        </w:rPr>
        <w:t xml:space="preserve">closed logical system. </w:t>
      </w:r>
      <w:r w:rsidRPr="0063725A">
        <w:rPr>
          <w:rFonts w:ascii="Book Antiqua" w:eastAsia="Times New Roman" w:hAnsi="Book Antiqua" w:cs="Arial"/>
          <w:sz w:val="24"/>
          <w:szCs w:val="24"/>
        </w:rPr>
        <w:t xml:space="preserve">Akal dalam hukum memahami hukum sebagai peraturan perundang-undangan yang telah baku dan dibentuk oleh otoritas negara, bukan seperti tradisi kebiasaan atau budaya masyarakat. Objek positivisme hukum yang dipahami sebagai sistem norma hukum positif dalam peraturan perundang-undang mendasarkan pada konsep bahwa hukum muncul terkait dengan negara, bukan sebagai pergaulan masyarakat, karena dalam </w:t>
      </w:r>
      <w:r w:rsidRPr="0063725A">
        <w:rPr>
          <w:rFonts w:ascii="Book Antiqua" w:eastAsia="Times New Roman" w:hAnsi="Book Antiqua" w:cs="Arial"/>
          <w:sz w:val="24"/>
          <w:szCs w:val="24"/>
        </w:rPr>
        <w:lastRenderedPageBreak/>
        <w:t>positivisme hukum tidak memiliki hubungan dengan kehidupan masyarakat yang diaturnya.</w:t>
      </w:r>
      <w:r w:rsidRPr="0063725A">
        <w:rPr>
          <w:rStyle w:val="FootnoteReference"/>
          <w:rFonts w:ascii="Book Antiqua" w:eastAsia="Times New Roman" w:hAnsi="Book Antiqua" w:cs="Arial"/>
          <w:sz w:val="24"/>
          <w:szCs w:val="24"/>
        </w:rPr>
        <w:footnoteReference w:id="218"/>
      </w:r>
    </w:p>
    <w:p w:rsidR="002145C9" w:rsidRPr="0063725A" w:rsidRDefault="00A763DC" w:rsidP="002145C9">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Dalam positivisme hukum hakim memiliki pemahaman yang berbeda dengan penasehat hukum dan jaksa. Jaksa memahami hukum berangkat dari objektif ke subjektif, sementara penasehat hukum berangkat dari subjektif ke subjekif, sedangkan hakim harus berangkat dari objektif ke objektif sehingga sisi kemanusiaan hakim seperti rasa iba, marah, empati, kepentingan, ideologi dan sebagainya tidak boleh bercampur dengan sistem norma hukum positif dalam peraturan perundang-undangan ketika memutus perkara. Pernyataan klasik sering digunakan aliran positivisme hukum untuk menyakinkan bahwa hakim itu obyektif dan tidak berpihak (netral).</w:t>
      </w:r>
      <w:r w:rsidR="002145C9" w:rsidRPr="0063725A">
        <w:rPr>
          <w:rStyle w:val="FootnoteReference"/>
          <w:rFonts w:ascii="Book Antiqua" w:eastAsia="Times New Roman" w:hAnsi="Book Antiqua" w:cs="Arial"/>
          <w:sz w:val="24"/>
          <w:szCs w:val="24"/>
        </w:rPr>
        <w:footnoteReference w:id="219"/>
      </w:r>
      <w:r w:rsidR="002145C9" w:rsidRPr="0063725A">
        <w:rPr>
          <w:rFonts w:ascii="Book Antiqua" w:eastAsia="Times New Roman" w:hAnsi="Book Antiqua" w:cs="Arial"/>
          <w:sz w:val="24"/>
          <w:szCs w:val="24"/>
        </w:rPr>
        <w:t>Terhadap pandangan yang menekankan obyektifitas hukum seperti dalam aliran positivisme hukum akan berpendapat bahwa putusan hakim yang baik adalah menjamin kepastian hukum. Dalam hukum harus diterapkan sebagaimana adanya, tidak boleh ada pandangan pribadi dalam memutus perkara. Terhadap penilaian hukum yang diterapkan baik atau buruk, adil atau tidak itu bukanlah tugas hakim untuk menilai, tetapi hal itu hanya terkait dengan pandangan masyarakat luar yang tidak boleh bercampur dengan hukum. Objektifitas hukum dalam pandangan pengadilan hanya menekankan pada justifikasi prinsip bahwa hakim wajib memutus segala perkara menurut hukum yang berlaku, bukan karena pengaruh dari kehidupan masyarakat. Peraturan perun</w:t>
      </w: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 xml:space="preserve">dang-undangan harus menjadi acuan utama hakim dalam mengadili setiap kasus yang berbeda. oleh karena itu, menurut mahzab sejarah hukum dapat dikatakan, </w:t>
      </w:r>
      <w:r w:rsidR="002145C9" w:rsidRPr="0063725A">
        <w:rPr>
          <w:rFonts w:ascii="Book Antiqua" w:eastAsia="Times New Roman" w:hAnsi="Book Antiqua" w:cs="Arial"/>
          <w:sz w:val="24"/>
          <w:szCs w:val="24"/>
        </w:rPr>
        <w:lastRenderedPageBreak/>
        <w:t>bahwa hal ini berarti menerapkan aturan hukum yang sama terhadap kasus yang berbeda, sehingga tidak akan pernah mencapai suatu kemanfaatan.</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sebagai sarana penalaran dalam epistemologi ilmu hukum memiliki pemahaman yang bersifat rasional objektif dalam melihat objek hukum yang berupa peraturan perundang-undangan, sehingga dengan itu dapat dilakukan analisis secara logis terhadapnya. Indera sebagai sarana penalaran dalam epistemologi memiliki kelemahan yang mengakibatkanya tersingkir dari dunia hukum karena kegagalannya untuk menampilkan objek hukum secara tetap dan sering berubah-ubah, sehingga tidak dapat dilakukan analisis hukum terhadapnya secara pasti. Sifat objek hukum dari mahzab sejarah hukum yang khusus dan unik dari tradisi kebiasaan pergaulan masyarakat, menurut positivisme hukum mengakibatkan hukum tidak memiliki nilai kepastian dengan jelas dan tegas. Mahzab sejarah hukum yang terkait dengan kehidupan sosial masyarakat memiliki pandangan sendiri dan berbeda-beda terhadap objek hukum, karena itu merupakan bentuk dari jejak kehidupan manusia yang selalu berubah setiap waktu. Kenyataan hukum ini dinilai bersifat labil dan tidak tetap serta dianggap gagal memberikan kepastian hukum yang obyektif dilatar belakangi oleh pandangan terhadap objek hukum yang bersifat variatif. Zaman yang semakin maju dan modern menuntut lebih peran akal untuk melakukan analisis terhadap permasalahan yang timbul, bukan menyerahkan penyelesaiannya pada tradisi kebiasaan yang terjadi dalam kehidupan masyarakat. Positivisme hukum hadir sebagai jawaban atas permasalahan hukum dengan pola pemikiran ilmiah yangbersifat sainstis berusaha untuk meneguhkan cara kerja akal </w:t>
      </w:r>
      <w:r w:rsidRPr="0063725A">
        <w:rPr>
          <w:rFonts w:ascii="Book Antiqua" w:eastAsia="Times New Roman" w:hAnsi="Book Antiqua" w:cs="Arial"/>
          <w:sz w:val="24"/>
          <w:szCs w:val="24"/>
        </w:rPr>
        <w:lastRenderedPageBreak/>
        <w:t>yang lebih akurat dan terukur jelas secara analisis rasional dari pada menyerahkan pada kebiasaan yang dinilai kurnag pasti.</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Menurut John Austin hukum merupakan suatu aturan yang ditentukan untuk mengatur makhluk yang berakal yang berkuasa dan diberlakukan terhadap kelompok yang dikuasainya,</w:t>
      </w:r>
      <w:r w:rsidRPr="0063725A">
        <w:rPr>
          <w:rFonts w:ascii="Book Antiqua" w:hAnsi="Book Antiqua"/>
          <w:sz w:val="24"/>
          <w:szCs w:val="24"/>
          <w:vertAlign w:val="superscript"/>
        </w:rPr>
        <w:footnoteReference w:id="220"/>
      </w:r>
      <w:r w:rsidRPr="0063725A">
        <w:rPr>
          <w:rFonts w:ascii="Book Antiqua" w:eastAsia="Times New Roman" w:hAnsi="Book Antiqua" w:cs="Arial"/>
          <w:sz w:val="24"/>
          <w:szCs w:val="24"/>
        </w:rPr>
        <w:t>bukan hukum yang dibentuk atas tradisi kebiasaan atau budaya dalam pergaulan masyarakatseperti yang dikemukakan mahzab sejarah hukum oleh Savigny.</w:t>
      </w:r>
      <w:r w:rsidRPr="0063725A">
        <w:rPr>
          <w:rStyle w:val="FootnoteReference"/>
          <w:rFonts w:ascii="Book Antiqua" w:eastAsia="Times New Roman" w:hAnsi="Book Antiqua" w:cs="Arial"/>
          <w:sz w:val="24"/>
          <w:szCs w:val="24"/>
        </w:rPr>
        <w:footnoteReference w:id="221"/>
      </w:r>
      <w:r w:rsidRPr="0063725A">
        <w:rPr>
          <w:rFonts w:ascii="Book Antiqua" w:eastAsia="Times New Roman" w:hAnsi="Book Antiqua" w:cs="Arial"/>
          <w:sz w:val="24"/>
          <w:szCs w:val="24"/>
        </w:rPr>
        <w:t xml:space="preserve"> Tradisi kebiasaan dalam pergaulan masyarakat harus dipisahkan dari hukum dan sebagai gantinya didasarkan pada ide-ide benar dan salah yang didasarkan pada kehendak pemegang kekuasaan yang tertinggi tanpa memperhatikan pertimbangan kemanfaatan bagi masyarakat. Menurut Austin, perintah dari penguasa yang berdaulat yang menjadi objek hukum lebih kuat daripada kepentingan yang ada di masyarakat. Hal ini didasari karena perintah penguasa dalam pemahaman hukum positif merupakan inti dari sifat hukum,</w:t>
      </w:r>
      <w:r w:rsidRPr="0063725A">
        <w:rPr>
          <w:rStyle w:val="FootnoteReference"/>
          <w:rFonts w:ascii="Book Antiqua" w:eastAsia="Times New Roman" w:hAnsi="Book Antiqua" w:cs="Arial"/>
          <w:sz w:val="24"/>
          <w:szCs w:val="24"/>
        </w:rPr>
        <w:footnoteReference w:id="222"/>
      </w:r>
      <w:r w:rsidRPr="0063725A">
        <w:rPr>
          <w:rFonts w:ascii="Book Antiqua" w:eastAsia="Times New Roman" w:hAnsi="Book Antiqua" w:cs="Arial"/>
          <w:sz w:val="24"/>
          <w:szCs w:val="24"/>
        </w:rPr>
        <w:t xml:space="preserve"> sedangkan tradisi kebiasaan hanya dipahami sebagai bentuk tata pergaulan dalam kehidupan masyarakat yang tidak memiliki daya paksa kuat dan biasanya menjadikan sikap yang hanya mengikuti budaya yang telah ada serta keinginan untuk tetap menjaga tradisi sebelumnya. Hukum positif berasal dari pemegang kedaulatan tertinggi yang memiliki peran sangat menentukan untuk membentuk hukum.</w:t>
      </w:r>
      <w:r w:rsidRPr="0063725A">
        <w:rPr>
          <w:rStyle w:val="FootnoteReference"/>
          <w:rFonts w:ascii="Book Antiqua" w:eastAsia="Times New Roman" w:hAnsi="Book Antiqua" w:cs="Arial"/>
          <w:sz w:val="24"/>
          <w:szCs w:val="24"/>
        </w:rPr>
        <w:footnoteReference w:id="223"/>
      </w:r>
      <w:r w:rsidRPr="0063725A">
        <w:rPr>
          <w:rFonts w:ascii="Book Antiqua" w:eastAsia="Times New Roman" w:hAnsi="Book Antiqua" w:cs="Arial"/>
          <w:sz w:val="24"/>
          <w:szCs w:val="24"/>
        </w:rPr>
        <w:t xml:space="preserve"> Untuk mengidentifikasi apakah sebuah norma itu hukum atau sosial dapat dilihat dari kepastian esensi atau hakikat dari objek hukum yang bersandar pada cara kerja akal secara rasional. Positivisme hukum yang dipelopori Austin </w:t>
      </w:r>
      <w:r w:rsidRPr="0063725A">
        <w:rPr>
          <w:rFonts w:ascii="Book Antiqua" w:eastAsia="Times New Roman" w:hAnsi="Book Antiqua" w:cs="Arial"/>
          <w:sz w:val="24"/>
          <w:szCs w:val="24"/>
        </w:rPr>
        <w:lastRenderedPageBreak/>
        <w:t>berusaha menetapkan esensi dari suatu hukum seperti dengan mendefinisikan hukum dalam sistem logis yang di dalamnya mengandung unsur-unsur yang bersifat perintah, kewajiban dan sanksi dari penguasa.</w:t>
      </w:r>
      <w:r w:rsidRPr="0063725A">
        <w:rPr>
          <w:rStyle w:val="FootnoteReference"/>
          <w:rFonts w:ascii="Book Antiqua" w:eastAsia="Times New Roman" w:hAnsi="Book Antiqua" w:cs="Arial"/>
          <w:sz w:val="24"/>
          <w:szCs w:val="24"/>
        </w:rPr>
        <w:footnoteReference w:id="224"/>
      </w:r>
    </w:p>
    <w:p w:rsidR="002145C9" w:rsidRPr="0063725A" w:rsidRDefault="00A763DC" w:rsidP="002145C9">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ab/>
        <w:t>Tradisi kebiasaan dan adat istiadat yang ada di masyarakat oleh H.L.A. Hart dipahami sebagai sebagai sumber hukum primer yang belum cukup mampu untuk disebut sebagai hukum, sehingga masih perlu dijelaskan oleh hukum yang bersifat sekunder.</w:t>
      </w:r>
      <w:r w:rsidR="002145C9" w:rsidRPr="0063725A">
        <w:rPr>
          <w:rStyle w:val="FootnoteReference"/>
          <w:rFonts w:ascii="Book Antiqua" w:eastAsia="Times New Roman" w:hAnsi="Book Antiqua" w:cs="Arial"/>
          <w:sz w:val="24"/>
          <w:szCs w:val="24"/>
        </w:rPr>
        <w:footnoteReference w:id="225"/>
      </w:r>
      <w:r w:rsidR="002145C9" w:rsidRPr="0063725A">
        <w:rPr>
          <w:rFonts w:ascii="Book Antiqua" w:eastAsia="Times New Roman" w:hAnsi="Book Antiqua" w:cs="Arial"/>
          <w:sz w:val="24"/>
          <w:szCs w:val="24"/>
        </w:rPr>
        <w:t xml:space="preserve"> Kebiasaan dan adat istiadat sebagai perilaku hukum dalam sistem masyarakat tradisional masih dipegang sebagai sumber hukum yang bersifat primer tidak diakui sebagai hukum oleh positivisme hukum, karena jika hukum bergantung pada sikap dan perilaku penerimaan masyarakat, maka ketidakpastian hukum pasti akan terjadi. Tata pergaulan dalam kehidupan sosial kemasyarakatan menurut aliran positivisme hukum dianggap bukan objek esensial hukum, sehingga tidak dapat diakui sebagai hukum positif secara sah.</w:t>
      </w:r>
      <w:r w:rsidR="002145C9" w:rsidRPr="0063725A">
        <w:rPr>
          <w:rStyle w:val="FootnoteReference"/>
          <w:rFonts w:ascii="Book Antiqua" w:eastAsia="Times New Roman" w:hAnsi="Book Antiqua" w:cs="Arial"/>
          <w:sz w:val="24"/>
          <w:szCs w:val="24"/>
        </w:rPr>
        <w:footnoteReference w:id="226"/>
      </w:r>
      <w:r w:rsidR="002145C9" w:rsidRPr="0063725A">
        <w:rPr>
          <w:rFonts w:ascii="Book Antiqua" w:eastAsia="Times New Roman" w:hAnsi="Book Antiqua" w:cs="Arial"/>
          <w:sz w:val="24"/>
          <w:szCs w:val="24"/>
        </w:rPr>
        <w:t>Dalam mengatasi permasalahan hukum yang bersifat primer tersebut, menurut positivisme hukum diperlukan adanya peraturan bersifat sekunder yang berhubungan dengan pembentukan, penafsiran, penerapan dan perubahan hukum secara prosedural formal yang berbasis pada logika rasional.</w:t>
      </w:r>
      <w:r w:rsidR="002145C9" w:rsidRPr="0063725A">
        <w:rPr>
          <w:rStyle w:val="FootnoteReference"/>
          <w:rFonts w:ascii="Book Antiqua" w:eastAsia="Times New Roman" w:hAnsi="Book Antiqua" w:cs="Arial"/>
          <w:sz w:val="24"/>
          <w:szCs w:val="24"/>
        </w:rPr>
        <w:footnoteReference w:id="227"/>
      </w:r>
      <w:r w:rsidR="002145C9" w:rsidRPr="0063725A">
        <w:rPr>
          <w:rFonts w:ascii="Book Antiqua" w:eastAsia="Times New Roman" w:hAnsi="Book Antiqua" w:cs="Arial"/>
          <w:sz w:val="24"/>
          <w:szCs w:val="24"/>
        </w:rPr>
        <w:t xml:space="preserve"> Alasan untuk mengatur hukum dalam format yang lebih ketat pada sistem logika hukum yang dibentuk oleh lembaga negara yang berwenang adalah agar hukum tidak jatuh pada kebiasaan masyarakat, seperti dikemukakan oleh Savigny.</w:t>
      </w:r>
      <w:r w:rsidR="002145C9" w:rsidRPr="0063725A">
        <w:rPr>
          <w:rStyle w:val="FootnoteReference"/>
          <w:rFonts w:ascii="Book Antiqua" w:eastAsia="Times New Roman" w:hAnsi="Book Antiqua" w:cs="Arial"/>
          <w:sz w:val="24"/>
          <w:szCs w:val="24"/>
        </w:rPr>
        <w:footnoteReference w:id="228"/>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color w:val="FF0000"/>
          <w:sz w:val="24"/>
          <w:szCs w:val="24"/>
        </w:rPr>
        <w:lastRenderedPageBreak/>
        <w:tab/>
      </w:r>
      <w:r w:rsidR="00A763DC">
        <w:rPr>
          <w:rFonts w:ascii="Book Antiqua" w:eastAsia="Times New Roman" w:hAnsi="Book Antiqua" w:cs="Arial"/>
          <w:color w:val="FF0000"/>
          <w:sz w:val="24"/>
          <w:szCs w:val="24"/>
        </w:rPr>
        <w:t xml:space="preserve">          </w:t>
      </w:r>
      <w:r w:rsidRPr="0063725A">
        <w:rPr>
          <w:rFonts w:ascii="Book Antiqua" w:eastAsia="Times New Roman" w:hAnsi="Book Antiqua" w:cs="Arial"/>
          <w:sz w:val="24"/>
          <w:szCs w:val="24"/>
        </w:rPr>
        <w:t xml:space="preserve">Positivisme hukum yang cenderung menggunakan sarana penalaran akal untuk mengembangkan epistemologinya mendapat tentangan keras dari mahzab sejarah hukum yang cenderung menggunakan sarana penalaran inderauntuk melihat hukum yang sebenarnya dalam bentuk tradisi kebiasaan masyarakat. Menurut mahzab sejarah hukum yang dipelopori oleh Savigny, hukum berevolusi berawal dari spirit jiwa bangsa yang anonim, bukan hasil dari sebuah keputusan </w:t>
      </w:r>
      <w:r w:rsidRPr="0063725A">
        <w:rPr>
          <w:rFonts w:ascii="Book Antiqua" w:eastAsia="Times New Roman" w:hAnsi="Book Antiqua" w:cs="Arial"/>
          <w:i/>
          <w:sz w:val="24"/>
          <w:szCs w:val="24"/>
        </w:rPr>
        <w:t>arbitrer</w:t>
      </w:r>
      <w:r w:rsidRPr="0063725A">
        <w:rPr>
          <w:rFonts w:ascii="Book Antiqua" w:eastAsia="Times New Roman" w:hAnsi="Book Antiqua" w:cs="Arial"/>
          <w:sz w:val="24"/>
          <w:szCs w:val="24"/>
        </w:rPr>
        <w:t xml:space="preserve"> yang dipaksakan seperti pemahaman positivisme hukum.Savigny menolak adanya reformasi hukum hanya karena untuk memenuhi kepentingan penguasa, karena hukum bukan berasal dari penguasa, tetapi dari tradisi kebiasaan yang lahir dari pergaulan hidup di masyarakat. Mahzab sejarah hukum telah memberikan tempat terhormat kepada hukum kebiasaan, karena telah tumbuh secara alamiah yang mencerminkan kepentingan aspirasi dan kebutuhan masyarakat.Prinsip-prinsip hukum tidak dapat ditemukan dalam peraturan perundang-undangan, tetapi merupakan bagian dari keyakinan dan spirit masyarakat (</w:t>
      </w:r>
      <w:r w:rsidRPr="0063725A">
        <w:rPr>
          <w:rFonts w:ascii="Book Antiqua" w:eastAsia="Times New Roman" w:hAnsi="Book Antiqua" w:cs="Arial"/>
          <w:i/>
          <w:sz w:val="24"/>
          <w:szCs w:val="24"/>
        </w:rPr>
        <w:t>volksglauben</w:t>
      </w:r>
      <w:r w:rsidRPr="0063725A">
        <w:rPr>
          <w:rFonts w:ascii="Book Antiqua" w:eastAsia="Times New Roman" w:hAnsi="Book Antiqua" w:cs="Arial"/>
          <w:sz w:val="24"/>
          <w:szCs w:val="24"/>
        </w:rPr>
        <w:t>).</w:t>
      </w:r>
      <w:r w:rsidR="00B16E59">
        <w:rPr>
          <w:rFonts w:ascii="Book Antiqua" w:eastAsia="Times New Roman" w:hAnsi="Book Antiqua" w:cs="Arial"/>
          <w:sz w:val="24"/>
          <w:szCs w:val="24"/>
        </w:rPr>
        <w:t xml:space="preserve"> </w:t>
      </w:r>
      <w:r w:rsidRPr="0063725A">
        <w:rPr>
          <w:rFonts w:ascii="Book Antiqua" w:eastAsia="Times New Roman" w:hAnsi="Book Antiqua" w:cs="Arial"/>
          <w:sz w:val="24"/>
          <w:szCs w:val="24"/>
        </w:rPr>
        <w:t>Mahzab sejarah hukum menolak pemikiran dari positivisme hukum dengan mengeluarkan pernyataannya yang khas, yaitu “hukum itu ditemukan, bukan dibuat”.</w:t>
      </w:r>
      <w:r w:rsidRPr="0063725A">
        <w:rPr>
          <w:rFonts w:ascii="Book Antiqua" w:eastAsia="Times New Roman" w:hAnsi="Book Antiqua" w:cs="Arial"/>
          <w:sz w:val="24"/>
          <w:szCs w:val="24"/>
          <w:vertAlign w:val="superscript"/>
        </w:rPr>
        <w:footnoteReference w:id="229"/>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ab/>
      </w:r>
      <w:r w:rsidR="00A763DC">
        <w:rPr>
          <w:rFonts w:ascii="Book Antiqua" w:eastAsia="Times New Roman" w:hAnsi="Book Antiqua" w:cs="Arial"/>
          <w:sz w:val="24"/>
          <w:szCs w:val="24"/>
        </w:rPr>
        <w:t xml:space="preserve">          </w:t>
      </w:r>
      <w:r w:rsidRPr="0063725A">
        <w:rPr>
          <w:rFonts w:ascii="Book Antiqua" w:eastAsia="Times New Roman" w:hAnsi="Book Antiqua" w:cs="Arial"/>
          <w:sz w:val="24"/>
          <w:szCs w:val="24"/>
        </w:rPr>
        <w:t>Pandangan positivisme hukum yang mengembangkan epistemologinya dengan sarana penalaran akal, mengandaikan hakim pertama kali mengindentifikasi sumber hukum yang terdapat dalam peraturan perundang-undangan sebelum memeriksa fakta bukti empirisnya. Padahal nalar hakim tidak selinier sebagaimana dipahami aliran positivisme hukum yang selalu bermula dari peraturan perundang-</w:t>
      </w:r>
      <w:r w:rsidRPr="0063725A">
        <w:rPr>
          <w:rFonts w:ascii="Book Antiqua" w:eastAsia="Times New Roman" w:hAnsi="Book Antiqua" w:cs="Arial"/>
          <w:sz w:val="24"/>
          <w:szCs w:val="24"/>
        </w:rPr>
        <w:lastRenderedPageBreak/>
        <w:t>undangan, karena yang terjadi dalam praktek hukum di peradilan penalaran hakim bukan berawal dari peraturan perundang-undangan, melainkan diawali dari pemeriksaan terhadap kasus riil yang terjadi. Seperti dikemukakan Gr. Van der Burght dan J.D.C. Winkelman, bahwa penalaran hakim bermula dari pemeriksaan kasus dan setelah itu baru kemudian menerjemahkan kasus ke dalam pemahaman yuridis sebagaimana ditulis dalam teks peraturan perundang-undangan dengan cara melakukan pengkualifikasian.</w:t>
      </w:r>
      <w:r w:rsidRPr="0063725A">
        <w:rPr>
          <w:rStyle w:val="FootnoteReference"/>
          <w:rFonts w:ascii="Book Antiqua" w:eastAsia="Times New Roman" w:hAnsi="Book Antiqua" w:cs="Arial"/>
          <w:sz w:val="24"/>
          <w:szCs w:val="24"/>
        </w:rPr>
        <w:footnoteReference w:id="230"/>
      </w:r>
      <w:r w:rsidRPr="0063725A">
        <w:rPr>
          <w:rFonts w:ascii="Book Antiqua" w:eastAsia="Times New Roman" w:hAnsi="Book Antiqua" w:cs="Arial"/>
          <w:sz w:val="24"/>
          <w:szCs w:val="24"/>
        </w:rPr>
        <w:t xml:space="preserve"> Pengkualifikasian sesungguhnya merupakan langkah awal dalam kegiatan penemuan hukum (</w:t>
      </w:r>
      <w:r w:rsidRPr="0063725A">
        <w:rPr>
          <w:rFonts w:ascii="Book Antiqua" w:eastAsia="Times New Roman" w:hAnsi="Book Antiqua" w:cs="Arial"/>
          <w:i/>
          <w:sz w:val="24"/>
          <w:szCs w:val="24"/>
        </w:rPr>
        <w:t>rechtsvinding</w:t>
      </w:r>
      <w:r w:rsidRPr="0063725A">
        <w:rPr>
          <w:rFonts w:ascii="Book Antiqua" w:eastAsia="Times New Roman" w:hAnsi="Book Antiqua" w:cs="Arial"/>
          <w:sz w:val="24"/>
          <w:szCs w:val="24"/>
        </w:rPr>
        <w:t>) sebagai aspek penting dari ilmu hukum dan praktik hukum, akan tetapi antara penemuan hukum sebagai sebuah kegiatan keilmuan dan penemuan hukum di dalam praktik hukum terdapat suatu perbedaan yang cukup signifikan. Ilmuwan hukum dapat melakukan filsafat tanpa batas tentang semua kemungkinan penyelesaian teoritikal terhadap masalah hukum tertentu, sedangkan dalam praktik hukum, hakim harus memberikan putusan hukumnya dalam jangka waktu yang masuk akal.</w:t>
      </w:r>
      <w:r w:rsidRPr="0063725A">
        <w:rPr>
          <w:rStyle w:val="FootnoteReference"/>
          <w:rFonts w:ascii="Book Antiqua" w:eastAsia="Times New Roman" w:hAnsi="Book Antiqua" w:cs="Arial"/>
          <w:sz w:val="24"/>
          <w:szCs w:val="24"/>
        </w:rPr>
        <w:footnoteReference w:id="231"/>
      </w:r>
      <w:r w:rsidRPr="0063725A">
        <w:rPr>
          <w:rFonts w:ascii="Book Antiqua" w:eastAsia="Times New Roman" w:hAnsi="Book Antiqua" w:cs="Arial"/>
          <w:sz w:val="24"/>
          <w:szCs w:val="24"/>
        </w:rPr>
        <w:t xml:space="preserve"> Mungkin karena keterbatasan waktu itu menyebabkan seorang hakim dituntut tidak hanya pada ketepatan substansi dalam penemuan hukum melainkan ketepatan waktu, karena dalam hukum positif terdapat proses-proses hukum yang telah terformalkan dalam tahap-tahap tertentu dan jika tidak sesuai dengan itu maka dianggap gagal. Oleh karena itu, terdapat kritikan untuk positivisme hukum agar kembali kepada </w:t>
      </w:r>
      <w:r w:rsidRPr="0063725A">
        <w:rPr>
          <w:rFonts w:ascii="Book Antiqua" w:eastAsia="Times New Roman" w:hAnsi="Book Antiqua" w:cs="Arial"/>
          <w:sz w:val="24"/>
          <w:szCs w:val="24"/>
        </w:rPr>
        <w:lastRenderedPageBreak/>
        <w:t>mekanisme dan cara-cara pembuktian hukum yang lebih sederhana, karena rasional akal sering tidak mencapai pemahaman hukum yang seharusnya.</w:t>
      </w:r>
      <w:r w:rsidRPr="0063725A">
        <w:rPr>
          <w:rStyle w:val="FootnoteReference"/>
          <w:rFonts w:ascii="Book Antiqua" w:eastAsia="Times New Roman" w:hAnsi="Book Antiqua" w:cs="Arial"/>
          <w:sz w:val="24"/>
          <w:szCs w:val="24"/>
        </w:rPr>
        <w:footnoteReference w:id="232"/>
      </w:r>
    </w:p>
    <w:p w:rsidR="002145C9" w:rsidRPr="0063725A" w:rsidRDefault="00A763DC" w:rsidP="002145C9">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Konflik</w:t>
      </w: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mahzab sejarah hukum dengan positivisme hukum dapat mempengaruhi praktisi hukum dan ilmuwan sosial seperti individu-individu dari kultur profesi yang berbeda sehingga tidak bisa saling berkomunikasi secara efektif, karena mahzab sejarah hukum mengkaji objek hukum yang ada di lapangan sosial masyarakat. Ada semacam garis demarkasi yang bermain di wilayah diskursif, yang mendikotomikan antara ilmu hukum dan ilmu sosial. Praktisi hukum memahami hukum cenderung tertutup, sedangkan ilmu sosial memandang hukum lebih terbuka dan proses yang terus-menerus membuka kemungkinkan untuk melakukan revisi bagi penemuan-penemuan berikutnya. Frank Mac Hovec sebagaimana dikutip Rosemary J. Erickson dan Rita J. Simon membedakan antara hukum dengan ilmu pengetahuan sosial.</w:t>
      </w:r>
      <w:r w:rsidR="002145C9" w:rsidRPr="0063725A">
        <w:rPr>
          <w:rStyle w:val="FootnoteReference"/>
          <w:rFonts w:ascii="Book Antiqua" w:eastAsia="Times New Roman" w:hAnsi="Book Antiqua" w:cs="Arial"/>
          <w:sz w:val="24"/>
          <w:szCs w:val="24"/>
        </w:rPr>
        <w:footnoteReference w:id="233"/>
      </w:r>
      <w:r w:rsidR="002145C9" w:rsidRPr="0063725A">
        <w:rPr>
          <w:rFonts w:ascii="Book Antiqua" w:eastAsia="Times New Roman" w:hAnsi="Book Antiqua" w:cs="Arial"/>
          <w:sz w:val="24"/>
          <w:szCs w:val="24"/>
        </w:rPr>
        <w:t xml:space="preserve">Hukum dapat dikatakan memproduksi </w:t>
      </w:r>
      <w:r w:rsidR="002145C9" w:rsidRPr="0063725A">
        <w:rPr>
          <w:rFonts w:ascii="Book Antiqua" w:eastAsia="Times New Roman" w:hAnsi="Book Antiqua" w:cs="Arial"/>
          <w:i/>
          <w:sz w:val="24"/>
          <w:szCs w:val="24"/>
        </w:rPr>
        <w:t>idiographic knowledge</w:t>
      </w:r>
      <w:r w:rsidR="002145C9" w:rsidRPr="0063725A">
        <w:rPr>
          <w:rFonts w:ascii="Book Antiqua" w:eastAsia="Times New Roman" w:hAnsi="Book Antiqua" w:cs="Arial"/>
          <w:sz w:val="24"/>
          <w:szCs w:val="24"/>
        </w:rPr>
        <w:t xml:space="preserve">, sedangkan ilmu pengetahuan sosial memproduksi </w:t>
      </w:r>
      <w:r w:rsidR="002145C9" w:rsidRPr="0063725A">
        <w:rPr>
          <w:rFonts w:ascii="Book Antiqua" w:eastAsia="Times New Roman" w:hAnsi="Book Antiqua" w:cs="Arial"/>
          <w:i/>
          <w:sz w:val="24"/>
          <w:szCs w:val="24"/>
        </w:rPr>
        <w:t>nomothetic knowledge</w:t>
      </w:r>
      <w:r w:rsidR="002145C9" w:rsidRPr="0063725A">
        <w:rPr>
          <w:rFonts w:ascii="Book Antiqua" w:eastAsia="Times New Roman" w:hAnsi="Book Antiqua" w:cs="Arial"/>
          <w:sz w:val="24"/>
          <w:szCs w:val="24"/>
        </w:rPr>
        <w:t>.</w:t>
      </w:r>
      <w:r w:rsidR="002145C9" w:rsidRPr="0063725A">
        <w:rPr>
          <w:rStyle w:val="FootnoteReference"/>
          <w:rFonts w:ascii="Book Antiqua" w:eastAsia="Times New Roman" w:hAnsi="Book Antiqua" w:cs="Arial"/>
          <w:sz w:val="24"/>
          <w:szCs w:val="24"/>
        </w:rPr>
        <w:footnoteReference w:id="234"/>
      </w:r>
      <w:r w:rsidR="002145C9" w:rsidRPr="0063725A">
        <w:rPr>
          <w:rFonts w:ascii="Book Antiqua" w:eastAsia="Times New Roman" w:hAnsi="Book Antiqua" w:cs="Arial"/>
          <w:sz w:val="24"/>
          <w:szCs w:val="24"/>
        </w:rPr>
        <w:t xml:space="preserve"> Dalam upaya penemuan hukum didasarkan pada kepastian dan bebas dari keraguan, sedangkan ilmu sosial didasarkan pada kemungkinan dan generalisasi dari kasus-kasus yang telah terjadi.</w:t>
      </w:r>
      <w:r w:rsidR="002145C9" w:rsidRPr="0063725A">
        <w:rPr>
          <w:rStyle w:val="FootnoteReference"/>
          <w:rFonts w:ascii="Book Antiqua" w:eastAsia="Times New Roman" w:hAnsi="Book Antiqua" w:cs="Arial"/>
          <w:sz w:val="24"/>
          <w:szCs w:val="24"/>
        </w:rPr>
        <w:footnoteReference w:id="235"/>
      </w:r>
      <w:r w:rsidR="002145C9" w:rsidRPr="0063725A">
        <w:rPr>
          <w:rFonts w:ascii="Book Antiqua" w:eastAsia="Times New Roman" w:hAnsi="Book Antiqua" w:cs="Arial"/>
          <w:sz w:val="24"/>
          <w:szCs w:val="24"/>
        </w:rPr>
        <w:t>Dalam positivisme hukum lebih bersifat normatif dan preskriptif untuk menjelaskan bagaimana seharusnya orang berperilaku (</w:t>
      </w:r>
      <w:r w:rsidR="002145C9" w:rsidRPr="0063725A">
        <w:rPr>
          <w:rFonts w:ascii="Book Antiqua" w:eastAsia="Times New Roman" w:hAnsi="Book Antiqua" w:cs="Arial"/>
          <w:i/>
          <w:sz w:val="24"/>
          <w:szCs w:val="24"/>
        </w:rPr>
        <w:t>how people should behave and ought to be</w:t>
      </w:r>
      <w:r w:rsidR="002145C9" w:rsidRPr="0063725A">
        <w:rPr>
          <w:rFonts w:ascii="Book Antiqua" w:eastAsia="Times New Roman" w:hAnsi="Book Antiqua" w:cs="Arial"/>
          <w:sz w:val="24"/>
          <w:szCs w:val="24"/>
        </w:rPr>
        <w:t xml:space="preserve">), sedangkan dalam ilmu sosial lebih bersifat deskriptif, </w:t>
      </w:r>
      <w:r w:rsidR="002145C9" w:rsidRPr="0063725A">
        <w:rPr>
          <w:rFonts w:ascii="Book Antiqua" w:eastAsia="Times New Roman" w:hAnsi="Book Antiqua" w:cs="Arial"/>
          <w:sz w:val="24"/>
          <w:szCs w:val="24"/>
        </w:rPr>
        <w:lastRenderedPageBreak/>
        <w:t>berusaha tidak menilai, tetapi menjelaskan bagaimana orang berperilaku (</w:t>
      </w:r>
      <w:r w:rsidR="002145C9" w:rsidRPr="0063725A">
        <w:rPr>
          <w:rFonts w:ascii="Book Antiqua" w:eastAsia="Times New Roman" w:hAnsi="Book Antiqua" w:cs="Arial"/>
          <w:i/>
          <w:sz w:val="24"/>
          <w:szCs w:val="24"/>
        </w:rPr>
        <w:t>how people do behave</w:t>
      </w:r>
      <w:r w:rsidR="002145C9" w:rsidRPr="0063725A">
        <w:rPr>
          <w:rFonts w:ascii="Book Antiqua" w:eastAsia="Times New Roman" w:hAnsi="Book Antiqua" w:cs="Arial"/>
          <w:sz w:val="24"/>
          <w:szCs w:val="24"/>
        </w:rPr>
        <w:t>).</w:t>
      </w:r>
      <w:r w:rsidR="002145C9" w:rsidRPr="0063725A">
        <w:rPr>
          <w:rStyle w:val="FootnoteReference"/>
          <w:rFonts w:ascii="Book Antiqua" w:eastAsia="Times New Roman" w:hAnsi="Book Antiqua" w:cs="Arial"/>
          <w:sz w:val="24"/>
          <w:szCs w:val="24"/>
        </w:rPr>
        <w:footnoteReference w:id="236"/>
      </w:r>
    </w:p>
    <w:p w:rsidR="002145C9" w:rsidRPr="0063725A" w:rsidRDefault="00A763DC" w:rsidP="002145C9">
      <w:pPr>
        <w:tabs>
          <w:tab w:val="right" w:leader="dot" w:pos="7938"/>
        </w:tabs>
        <w:spacing w:after="0" w:line="48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Dalam pandangan positivisme hukum untuk memperoleh kebenaran hukum melalui metode pertikaian (</w:t>
      </w:r>
      <w:r w:rsidR="002145C9" w:rsidRPr="0063725A">
        <w:rPr>
          <w:rFonts w:ascii="Book Antiqua" w:eastAsia="Times New Roman" w:hAnsi="Book Antiqua" w:cs="Arial"/>
          <w:i/>
          <w:sz w:val="24"/>
          <w:szCs w:val="24"/>
        </w:rPr>
        <w:t>adversary method</w:t>
      </w:r>
      <w:r w:rsidR="002145C9" w:rsidRPr="0063725A">
        <w:rPr>
          <w:rFonts w:ascii="Book Antiqua" w:eastAsia="Times New Roman" w:hAnsi="Book Antiqua" w:cs="Arial"/>
          <w:sz w:val="24"/>
          <w:szCs w:val="24"/>
        </w:rPr>
        <w:t xml:space="preserve">) di pengadilan, sedangkan ilmu sosial melakukan pembuktian kebenaran melalui riset sosial secara ilmiah. Menurut pandangan sebagian ilmuwan sosial alergi dan tidak nyaman dengan pendekatan hukum seperti itu. Mereka berpendapat, apabila dua bidang ilmu ini bekerja sama dikhawatirkan akan terjadi </w:t>
      </w:r>
      <w:r w:rsidR="002145C9" w:rsidRPr="0063725A">
        <w:rPr>
          <w:rFonts w:ascii="Book Antiqua" w:eastAsia="Times New Roman" w:hAnsi="Book Antiqua" w:cs="Arial"/>
          <w:i/>
          <w:sz w:val="24"/>
          <w:szCs w:val="24"/>
        </w:rPr>
        <w:t>adversary method</w:t>
      </w:r>
      <w:r w:rsidR="002145C9" w:rsidRPr="0063725A">
        <w:rPr>
          <w:rFonts w:ascii="Book Antiqua" w:eastAsia="Times New Roman" w:hAnsi="Book Antiqua" w:cs="Arial"/>
          <w:sz w:val="24"/>
          <w:szCs w:val="24"/>
        </w:rPr>
        <w:t xml:space="preserve"> yang lazim digunakan dalam praktik hukum di pengadilan yang dapat mencemari dan merusak ilmu sosial, sebagaimana dikemukakan oleh Constance Lindman.</w:t>
      </w:r>
      <w:r w:rsidR="002145C9" w:rsidRPr="0063725A">
        <w:rPr>
          <w:rStyle w:val="FootnoteReference"/>
          <w:rFonts w:ascii="Book Antiqua" w:eastAsia="Times New Roman" w:hAnsi="Book Antiqua" w:cs="Arial"/>
          <w:sz w:val="24"/>
          <w:szCs w:val="24"/>
        </w:rPr>
        <w:footnoteReference w:id="237"/>
      </w:r>
      <w:r w:rsidR="002145C9" w:rsidRPr="0063725A">
        <w:rPr>
          <w:rFonts w:ascii="Book Antiqua" w:eastAsia="Times New Roman" w:hAnsi="Book Antiqua" w:cs="Arial"/>
          <w:sz w:val="24"/>
          <w:szCs w:val="24"/>
        </w:rPr>
        <w:t xml:space="preserve"> Begitu pula sebaliknya, ilmuwan hukum juga mencemaskan apabila hukum bekerja sama dengan ilmu sosial akan mencemari kemurnian hukum, seperti dikemukakan oleh Hans Kelsen dalam </w:t>
      </w:r>
      <w:r w:rsidR="002145C9" w:rsidRPr="0063725A">
        <w:rPr>
          <w:rFonts w:ascii="Book Antiqua" w:eastAsia="Times New Roman" w:hAnsi="Book Antiqua" w:cs="Arial"/>
          <w:i/>
          <w:sz w:val="24"/>
          <w:szCs w:val="24"/>
        </w:rPr>
        <w:t>the pure theory of law</w:t>
      </w:r>
      <w:r w:rsidR="002145C9" w:rsidRPr="0063725A">
        <w:rPr>
          <w:rFonts w:ascii="Book Antiqua" w:eastAsia="Times New Roman" w:hAnsi="Book Antiqua" w:cs="Arial"/>
          <w:sz w:val="24"/>
          <w:szCs w:val="24"/>
        </w:rPr>
        <w:t>yang mengajarkan hukum tidak boleh terkontaminasi elemen-elemen asing non hukum. Bahkan terdapat anggapan bahwa masuknya ilmu sosial ke ilmu hukum sebagai bencana bagi ilmu hukum dan masuknya ilmu hukum ke dalam ilmu sosial adalah bentuk dari pelacuran hukum. Keadaan yang menunjukkan adanya konflik epistemologi ilmu hukum ini seperti ditulis Timothy M. Hagle tentang adanya dua dunia dalam ilmu hukum yang tidak sempurna akibat dari ketegangan antara studi hukum (positivisme) dan empiris.</w:t>
      </w:r>
      <w:r w:rsidR="002145C9" w:rsidRPr="0063725A">
        <w:rPr>
          <w:rStyle w:val="FootnoteReference"/>
          <w:rFonts w:ascii="Book Antiqua" w:eastAsia="Times New Roman" w:hAnsi="Book Antiqua" w:cs="Arial"/>
          <w:sz w:val="24"/>
          <w:szCs w:val="24"/>
        </w:rPr>
        <w:footnoteReference w:id="238"/>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lastRenderedPageBreak/>
        <w:tab/>
        <w:t>Akal dengan peran dominasinya dalam positivisme hukum dapat dikatakan mampu menyingkirkan fakta-fakta hukum yang ada di dalam masyarakat dan sekaligus menunjukkan bahwa objek hukum yang sebenarnya adalah peraturan perundang-undangan bukan tradisi kebiasaan dalam pergaulan hidup di masyarakat. Menurut Hart, hukum adalah seperangkat instrumen yang bekerja di wilayah kekuasaan manusia,</w:t>
      </w:r>
      <w:r w:rsidRPr="0063725A">
        <w:rPr>
          <w:rFonts w:ascii="Book Antiqua" w:eastAsia="Times New Roman" w:hAnsi="Book Antiqua" w:cs="Arial"/>
          <w:sz w:val="24"/>
          <w:szCs w:val="24"/>
          <w:vertAlign w:val="superscript"/>
        </w:rPr>
        <w:footnoteReference w:id="239"/>
      </w:r>
      <w:r w:rsidRPr="0063725A">
        <w:rPr>
          <w:rFonts w:ascii="Book Antiqua" w:eastAsia="Times New Roman" w:hAnsi="Book Antiqua" w:cs="Arial"/>
          <w:sz w:val="24"/>
          <w:szCs w:val="24"/>
        </w:rPr>
        <w:t xml:space="preserve"> karena dibentuk oleh otoritas akal secara rasional yang berasal dari kekuasaan manusia sendiri bukan dari realitas sosial budaya yang ada di masyarakat. Keadaan konflik dalam epistemologi ilmu hukum yang dipicu pemahaman terhadap objek epistemologi ilmu hukum yang dikembangkan dengan sarana penalaran akal rasional secara jelas dan tegas dapat dilihat dari apa yang dikemukakan Hans Kelsen dalam teori hukum murni yang memahami hukum lebih besifat formal, sehingga hukum harus bersih dan lepas dari semua pertimbangan, termasuk sosial masyarakat, seperti dikemukakan Kelsen dalam teori hukum murni.</w:t>
      </w:r>
      <w:r w:rsidRPr="0063725A">
        <w:rPr>
          <w:rStyle w:val="FootnoteReference"/>
          <w:rFonts w:ascii="Book Antiqua" w:eastAsia="Times New Roman" w:hAnsi="Book Antiqua" w:cs="Arial"/>
          <w:sz w:val="24"/>
          <w:szCs w:val="24"/>
        </w:rPr>
        <w:footnoteReference w:id="240"/>
      </w:r>
      <w:r w:rsidRPr="0063725A">
        <w:rPr>
          <w:rFonts w:ascii="Book Antiqua" w:eastAsia="Times New Roman" w:hAnsi="Book Antiqua" w:cs="Arial"/>
          <w:sz w:val="24"/>
          <w:szCs w:val="24"/>
        </w:rPr>
        <w:t xml:space="preserve"> Hukum merupakan ilmu pengetahuan yang bersifat normatif berisi tentang aturan-aturan yang tersusun secara rijid dan jelas, bukan hukum yang telah dipengaruhi oleh keadaan sosial masyarakat.</w:t>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Kemurnian positivisme hukum yang berusaha dipatahkan oleh mahzab sejarah hukum yang didukung oleh ilmu-ilmu sosial. Ilmu hukum yang didudukan dalam ilmu praktis membutuhkan evaluasi yang terus-menerus dari tradisi kebiasaan dan budaya yang ada dalam pergaulan masyarakat, alasannya adalah kehidupan sosial masyarakat kaya dengan nilai-nilai, seperti spirit dan jiwa bangsa dalam sejarah hukum. Oleh karena itu, menghindarkan ilmu hukum dari nilai-nilai </w:t>
      </w:r>
      <w:r w:rsidRPr="0063725A">
        <w:rPr>
          <w:rFonts w:ascii="Book Antiqua" w:eastAsia="Times New Roman" w:hAnsi="Book Antiqua" w:cs="Arial"/>
          <w:sz w:val="24"/>
          <w:szCs w:val="24"/>
        </w:rPr>
        <w:lastRenderedPageBreak/>
        <w:t>(bebas nilai) adalah menghianati posisi ilmu praktis yang diembannya. Dengan demikian, meskipun objek telaahnya adalah tata hukum positif, maka terhadap ilmu hukum tetap memerlukan kerjasama dengan ilmu sosial. Jurgen Habermas dan Richard Posner telah memprediksikan bahwa krisis dalam pemahaman kultur hukum modern yang mendasari positivisme hukum akan mendorong pengadilan memberikan peranan pada ilmu-ilmu sosial yang lebih penting dalam formasi putusan hakim jika peraturan perundang-undangan dan yurisprudensi tidak dapat menyediakan jawaban yang benar terhadap permasalahan hukum.</w:t>
      </w:r>
      <w:r w:rsidRPr="0063725A">
        <w:rPr>
          <w:rStyle w:val="FootnoteReference"/>
          <w:rFonts w:ascii="Book Antiqua" w:eastAsia="Times New Roman" w:hAnsi="Book Antiqua" w:cs="Arial"/>
          <w:sz w:val="24"/>
          <w:szCs w:val="24"/>
        </w:rPr>
        <w:footnoteReference w:id="241"/>
      </w:r>
      <w:r w:rsidRPr="0063725A">
        <w:rPr>
          <w:rFonts w:ascii="Book Antiqua" w:eastAsia="Times New Roman" w:hAnsi="Book Antiqua" w:cs="Arial"/>
          <w:sz w:val="24"/>
          <w:szCs w:val="24"/>
        </w:rPr>
        <w:t xml:space="preserve"> Terhadap hal itu, beberapa eksponen ilmu sosial yang juga memiliki keterkaitan dengan mahzab sejarah hukumsependapat tentang pentingnya peranan ilmu sosial dalam hukum.Menurut scott hershovitz, terdapat pandangan yang anti terhadap positivisme hukum mengatakan bahwa fakta hukum yang terdapat dalam pergaulan hidupdi masyarakat memiliki peran lebih menentukan dalam mengambil keputusan hukum daripada ketentuan peraturan perundang-undangan.</w:t>
      </w:r>
      <w:r w:rsidRPr="0063725A">
        <w:rPr>
          <w:rStyle w:val="FootnoteReference"/>
          <w:rFonts w:ascii="Book Antiqua" w:eastAsia="Times New Roman" w:hAnsi="Book Antiqua" w:cs="Arial"/>
          <w:sz w:val="24"/>
          <w:szCs w:val="24"/>
        </w:rPr>
        <w:footnoteReference w:id="242"/>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Metode untuk memahami epistemologi ilmu hukum yang dikembangkan dengan sarana penalaran akal yang ditolak oleh mahzab sejarah hukum karena tidak bisa lepas dari prinsip-prinsip paham rasionalisme yang mampu menampung segala ide-ide tentang hukum sesuai dengan apa yang telah dipersepsikan benar sejak awal, bukan kebenaran nyata sesuai dengan kebiasaan yang ada di masyakat. Sifat formal dari hukum lebih memperkuat alur berpikir rasional yang dapat menyingkirkan sifat informal hukum yang ada dalam kehidupan masyarakat. Kebenaran secara rasional dinilai lebih masuk akal dan dapat diterima dalam sistem </w:t>
      </w:r>
      <w:r w:rsidRPr="0063725A">
        <w:rPr>
          <w:rFonts w:ascii="Book Antiqua" w:eastAsia="Times New Roman" w:hAnsi="Book Antiqua" w:cs="Arial"/>
          <w:sz w:val="24"/>
          <w:szCs w:val="24"/>
        </w:rPr>
        <w:lastRenderedPageBreak/>
        <w:t>formal hukum, karena menggunakan prosedur logika hukum tertutup yang bebas dari pengaruh realitas kehidupan masyarakat dan dapat terukur dengan jelas dan pasti.</w:t>
      </w:r>
      <w:r w:rsidRPr="0063725A">
        <w:rPr>
          <w:rStyle w:val="FootnoteReference"/>
          <w:rFonts w:ascii="Book Antiqua" w:eastAsia="Times New Roman" w:hAnsi="Book Antiqua" w:cs="Arial"/>
          <w:sz w:val="24"/>
          <w:szCs w:val="24"/>
        </w:rPr>
        <w:footnoteReference w:id="243"/>
      </w:r>
      <w:r w:rsidRPr="0063725A">
        <w:rPr>
          <w:rFonts w:ascii="Book Antiqua" w:eastAsia="Times New Roman" w:hAnsi="Book Antiqua" w:cs="Arial"/>
          <w:sz w:val="24"/>
          <w:szCs w:val="24"/>
        </w:rPr>
        <w:t xml:space="preserve"> Hal ini yang ditentang oleh mahzab sejarah hukum, karena dinilai tidak mengakui bukti-bukti hukum yang berupa jejak kehidupan masyarakat yang berupa kebiasaan, adat istiadat dan budaya. Hukum dapat dilihat dari sifatnya yang pasti dengan adanya unsur-unsur perintah, kewajiban dan sanksi yang dapat diterapkan secara formal berdasarkan prosedur yang telah ditetapkan. Penggunaan prosedur seperti ini yang tidak dapat dilakukan dalam mahzab sejarah hukum, sehingga oleh Benjamin Nathan Cardozo dituntut pentingnya ditumbuh kembangkannya kepekaan peradilan dan legislatif terhadap kehidupan sosial yang ada di masyarakat dengan segala perubahannya dalam pembentukan hukum. Hukum harus menggunakan realitas empiris untuk mengamati kondisi sosial masyarakat dan segala permasalahan yang terjadi. Dalam hal ini hukum akan terus nampak mengikuti dan menyesuaiakan diri dengan perkembangan zaman dan perubahan yang terjadi dalam masyarakat seperti pandangan mahzab sejarah hukum, sehingga nilai kegunaan sosial hukum dalam memenuhi kepentingan masyarakat dapat diutamakan (</w:t>
      </w:r>
      <w:r w:rsidRPr="0063725A">
        <w:rPr>
          <w:rFonts w:ascii="Book Antiqua" w:eastAsia="Times New Roman" w:hAnsi="Book Antiqua" w:cs="Arial"/>
          <w:i/>
          <w:sz w:val="24"/>
          <w:szCs w:val="24"/>
        </w:rPr>
        <w:t>the final cause of it is the welfare of the society</w:t>
      </w:r>
      <w:r w:rsidRPr="0063725A">
        <w:rPr>
          <w:rFonts w:ascii="Book Antiqua" w:eastAsia="Times New Roman" w:hAnsi="Book Antiqua" w:cs="Arial"/>
          <w:sz w:val="24"/>
          <w:szCs w:val="24"/>
        </w:rPr>
        <w:t>).</w:t>
      </w:r>
      <w:r w:rsidRPr="0063725A">
        <w:rPr>
          <w:rStyle w:val="FootnoteReference"/>
          <w:rFonts w:ascii="Book Antiqua" w:eastAsia="Times New Roman" w:hAnsi="Book Antiqua" w:cs="Arial"/>
          <w:sz w:val="24"/>
          <w:szCs w:val="24"/>
        </w:rPr>
        <w:footnoteReference w:id="244"/>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Akal yang bersifat rasional dalam pemahaman positivisme hukum Hans Kelsen sangat dominan untuk menentukan kebenaran hukum, karena hampir seluruh pembicaraan tentang hukum diarahkan untuk memenuhi syarat logis yang tersusun dalam aturan yuridis formal, karena suatu kaidah dapat bersifat wajib karena segi formalnya. Kaidah-kaidah lain belum dapat dikatakan menjadi hukum </w:t>
      </w:r>
      <w:r w:rsidRPr="0063725A">
        <w:rPr>
          <w:rFonts w:ascii="Book Antiqua" w:eastAsia="Times New Roman" w:hAnsi="Book Antiqua" w:cs="Arial"/>
          <w:sz w:val="24"/>
          <w:szCs w:val="24"/>
        </w:rPr>
        <w:lastRenderedPageBreak/>
        <w:t>apabila belum ditetapkan secara formal,</w:t>
      </w:r>
      <w:r w:rsidRPr="0063725A">
        <w:rPr>
          <w:rStyle w:val="FootnoteReference"/>
          <w:rFonts w:ascii="Book Antiqua" w:eastAsia="Times New Roman" w:hAnsi="Book Antiqua" w:cs="Arial"/>
          <w:sz w:val="24"/>
          <w:szCs w:val="24"/>
        </w:rPr>
        <w:footnoteReference w:id="245"/>
      </w:r>
      <w:r w:rsidRPr="0063725A">
        <w:rPr>
          <w:rFonts w:ascii="Book Antiqua" w:eastAsia="Times New Roman" w:hAnsi="Book Antiqua" w:cs="Arial"/>
          <w:sz w:val="24"/>
          <w:szCs w:val="24"/>
        </w:rPr>
        <w:t xml:space="preserve"> termasuk dalam hal ini adalah kaidah-kaidah sosial yang ada dalam masyarakat seperti tradisi kebiasaan dan adat istiadat. Oleh karena itu, kaidah-kaidah tersebut harus dihindari dalam melakukan penafsiran hukum positif, karena hal itu merupakan nilai-nilai diluar logika hukum. Sejarah dipandang sebagai sesuatu yang tidak relevan dalam memformulasikan, menafsirkan dan mengaplikasikan hukum. Hukum harus secara murni bersumber dari pemikiran manusia (</w:t>
      </w:r>
      <w:r w:rsidRPr="0063725A">
        <w:rPr>
          <w:rFonts w:ascii="Book Antiqua" w:eastAsia="Times New Roman" w:hAnsi="Book Antiqua" w:cs="Arial"/>
          <w:i/>
          <w:sz w:val="24"/>
          <w:szCs w:val="24"/>
        </w:rPr>
        <w:t>pure reason</w:t>
      </w:r>
      <w:r w:rsidRPr="0063725A">
        <w:rPr>
          <w:rFonts w:ascii="Book Antiqua" w:eastAsia="Times New Roman" w:hAnsi="Book Antiqua" w:cs="Arial"/>
          <w:sz w:val="24"/>
          <w:szCs w:val="24"/>
        </w:rPr>
        <w:t>) yang dapat dipahami bersifat komplit, koheren dan secara nyata mereduksi hukum menjadi hanya hukum tertulis. Hal ini karenakewenangan membuat hukum hanya terletak pada badan legislatif. Hakim tidak boleh melihat hukum di luar undang-undang, karena hanya berfungsi dan bertugas sebagai mekanik. Mahzab sejarah hukum menolak gagasan kodifikai hukum seperti positivisme hukum dengan alasan pendekatan yang dilakukan lebih cenderung rasionalis, arogan dan dangkal secara filosofis. Hukum tidak boleh berasal dari kreasi individual yang bersifat sesaat, tetapi merupakan kreasi masyarakat sebagai ekspresi dari spirit dan jiwa masyarakat.</w:t>
      </w:r>
      <w:r w:rsidRPr="0063725A">
        <w:rPr>
          <w:rFonts w:ascii="Book Antiqua" w:eastAsia="Times New Roman" w:hAnsi="Book Antiqua" w:cs="Arial"/>
          <w:sz w:val="24"/>
          <w:szCs w:val="24"/>
          <w:vertAlign w:val="superscript"/>
        </w:rPr>
        <w:footnoteReference w:id="246"/>
      </w:r>
    </w:p>
    <w:p w:rsidR="002145C9" w:rsidRPr="0063725A" w:rsidRDefault="002145C9" w:rsidP="002145C9">
      <w:pPr>
        <w:tabs>
          <w:tab w:val="right" w:leader="dot" w:pos="7938"/>
        </w:tabs>
        <w:spacing w:after="0" w:line="480" w:lineRule="auto"/>
        <w:jc w:val="both"/>
        <w:rPr>
          <w:rFonts w:ascii="Book Antiqua" w:eastAsia="Times New Roman" w:hAnsi="Book Antiqua" w:cs="Arial"/>
          <w:sz w:val="24"/>
          <w:szCs w:val="24"/>
        </w:rPr>
      </w:pPr>
      <w:r w:rsidRPr="0063725A">
        <w:rPr>
          <w:rFonts w:ascii="Book Antiqua" w:eastAsia="Times New Roman" w:hAnsi="Book Antiqua" w:cs="Arial"/>
          <w:sz w:val="24"/>
          <w:szCs w:val="24"/>
        </w:rPr>
        <w:t xml:space="preserve">          Konflik yang selalu membayangi epistemologi ilmu hukum adalah tentang validitas kebenaran yang dihasilkan. Hal ini dapat dilihat dari pergulatan antara positivisme hukum denganmahzab sejarah hukum. Positivisme hukum yang dalam hal ini didukung oleh formalisme melihat hukum sebagai otonom, bersifat lengkap, perintah logis dan menentukan dan percaya bahwa hakim terlibat dalam metode deduksi murni seperti mesin dari </w:t>
      </w:r>
      <w:r w:rsidRPr="0063725A">
        <w:rPr>
          <w:rFonts w:ascii="Book Antiqua" w:eastAsia="Times New Roman" w:hAnsi="Book Antiqua" w:cs="Arial"/>
          <w:i/>
          <w:sz w:val="24"/>
          <w:szCs w:val="24"/>
        </w:rPr>
        <w:t>body of law</w:t>
      </w:r>
      <w:r w:rsidRPr="0063725A">
        <w:rPr>
          <w:rFonts w:ascii="Book Antiqua" w:eastAsia="Times New Roman" w:hAnsi="Book Antiqua" w:cs="Arial"/>
          <w:sz w:val="24"/>
          <w:szCs w:val="24"/>
        </w:rPr>
        <w:t xml:space="preserve"> untuk menghasilkan kebenaran tunggal. Hakim dalam sistem formalis mengasumsikan bahwa hukum itu obyektif, </w:t>
      </w:r>
      <w:r w:rsidRPr="0063725A">
        <w:rPr>
          <w:rFonts w:ascii="Book Antiqua" w:eastAsia="Times New Roman" w:hAnsi="Book Antiqua" w:cs="Arial"/>
          <w:sz w:val="24"/>
          <w:szCs w:val="24"/>
        </w:rPr>
        <w:lastRenderedPageBreak/>
        <w:t>tidak terkontaminasi anasir-anasir non-hukum seperti sosialbudaya. Hukum dipahami harus sesuai dengan peraturan perundang-undangan, selain itu dianggap bukan sebagai hukum. Sebaliknya, penganut mahzab sejarah hukum tidak mempercayai formalisme hukum tersebut, karena menunjukkan bahwa hukum tersebut penuh dengan kesenjangan, kontradiksi dan paksaan demi untuk mencapai tujuan kepentingan tertentu. Hukum dinilai tidak menentukan, bahwa ada pengecualian dalam aturan hukum dari prinsip dan prinsip-prinsip hukum, serta preseden dapat memberikan hasil yang berbeda. Hukum menurut pandangan mahzab sejarah hukum memiliki tahap perkembangannya sendiri yang senantiasa berubah dan berevolusi, sehingga terhadap sesuatu yang benar menurut hukum juga benar menurut sejarah hukum.</w:t>
      </w:r>
      <w:r w:rsidRPr="0063725A">
        <w:rPr>
          <w:rFonts w:ascii="Book Antiqua" w:eastAsia="Times New Roman" w:hAnsi="Book Antiqua" w:cs="Arial"/>
          <w:sz w:val="24"/>
          <w:szCs w:val="24"/>
          <w:vertAlign w:val="superscript"/>
        </w:rPr>
        <w:footnoteReference w:id="247"/>
      </w:r>
    </w:p>
    <w:p w:rsidR="002145C9" w:rsidRPr="0063725A" w:rsidRDefault="00EA24BC" w:rsidP="002145C9">
      <w:pPr>
        <w:tabs>
          <w:tab w:val="right" w:leader="dot" w:pos="7938"/>
        </w:tabs>
        <w:spacing w:after="0" w:line="480" w:lineRule="auto"/>
        <w:jc w:val="both"/>
        <w:rPr>
          <w:rFonts w:ascii="Book Antiqua" w:hAnsi="Book Antiqua" w:cs="Arial"/>
          <w:sz w:val="24"/>
          <w:szCs w:val="24"/>
        </w:rPr>
      </w:pPr>
      <w:r>
        <w:rPr>
          <w:rFonts w:ascii="Book Antiqua" w:eastAsia="Times New Roman" w:hAnsi="Book Antiqua" w:cs="Arial"/>
          <w:sz w:val="24"/>
          <w:szCs w:val="24"/>
        </w:rPr>
        <w:t xml:space="preserve">          </w:t>
      </w:r>
      <w:r w:rsidR="002145C9" w:rsidRPr="0063725A">
        <w:rPr>
          <w:rFonts w:ascii="Book Antiqua" w:eastAsia="Times New Roman" w:hAnsi="Book Antiqua" w:cs="Arial"/>
          <w:sz w:val="24"/>
          <w:szCs w:val="24"/>
        </w:rPr>
        <w:t xml:space="preserve">Paham </w:t>
      </w:r>
      <w:r w:rsidR="002145C9" w:rsidRPr="0063725A">
        <w:rPr>
          <w:rFonts w:ascii="Book Antiqua" w:hAnsi="Book Antiqua" w:cs="Arial"/>
          <w:sz w:val="24"/>
          <w:szCs w:val="24"/>
        </w:rPr>
        <w:t>rasionalisme yang dikembangkan dengan sarana penalaran akal juga dianut oleh teori positivisme hukum yang dinilai memiliki cara kerja yang lebih baik daripada observasi indera,karena mampu menghasilkan kebenaran yang lebih jelas dan pasti melalui metode penalaran deduktif.Metode penalaran deduktif menyingkirkan semua gejala-gejala yang bersifat khusus dan berubah-ubah dari metode induktif dengan bentuk inferensi yang menurunkan sebuah kesimpulan yang didapatkan melalui penggunaan logika pikiran dengan disertai premis-premis yang berfungsi sebagai bukti.</w:t>
      </w:r>
      <w:r w:rsidR="002145C9" w:rsidRPr="0063725A">
        <w:rPr>
          <w:rStyle w:val="FootnoteReference"/>
          <w:rFonts w:ascii="Book Antiqua" w:hAnsi="Book Antiqua" w:cs="Arial"/>
          <w:sz w:val="24"/>
          <w:szCs w:val="24"/>
        </w:rPr>
        <w:footnoteReference w:id="248"/>
      </w:r>
      <w:r w:rsidR="002145C9" w:rsidRPr="0063725A">
        <w:rPr>
          <w:rFonts w:ascii="Book Antiqua" w:hAnsi="Book Antiqua" w:cs="Arial"/>
          <w:sz w:val="24"/>
          <w:szCs w:val="24"/>
        </w:rPr>
        <w:t xml:space="preserve"> Metode penalaran deduktif tidak mengakui kebenaran induktif yang bersifat mengeneralisir kebenaran terhadap kasus yang berbeda, seperti disampaikan Francis Bacon,</w:t>
      </w:r>
      <w:r w:rsidR="002145C9" w:rsidRPr="0063725A">
        <w:rPr>
          <w:rStyle w:val="FootnoteReference"/>
          <w:rFonts w:ascii="Book Antiqua" w:hAnsi="Book Antiqua" w:cs="Arial"/>
          <w:sz w:val="24"/>
          <w:szCs w:val="24"/>
        </w:rPr>
        <w:footnoteReference w:id="249"/>
      </w:r>
      <w:r w:rsidR="002145C9" w:rsidRPr="0063725A">
        <w:rPr>
          <w:rFonts w:ascii="Book Antiqua" w:hAnsi="Book Antiqua" w:cs="Arial"/>
          <w:sz w:val="24"/>
          <w:szCs w:val="24"/>
        </w:rPr>
        <w:t xml:space="preserve"> karena metode penalaran deduktif lebih menekankan pada struktur konseptual dan validitas substansialnya. Penolakan </w:t>
      </w:r>
      <w:r w:rsidR="002145C9" w:rsidRPr="0063725A">
        <w:rPr>
          <w:rFonts w:ascii="Book Antiqua" w:hAnsi="Book Antiqua" w:cs="Arial"/>
          <w:sz w:val="24"/>
          <w:szCs w:val="24"/>
        </w:rPr>
        <w:lastRenderedPageBreak/>
        <w:t>indera terhadap akal dengan penerapan metode penalaran deduktifnya sebagai cara berpikir dimana dari pernyataan yang bersifat umum ditarik ke dalam suatu kesimpulan yang bersifat khusus individual. Dalam pandangan empirisme, premis mayor yang bersifat umum dari peraturan perundang-undangan belum tentu hukum yang benar, karena hukum tersebut dibuat hanya memenuhi syarat formil yang dapat diduga banyak mengandung kepentingankekuasaan tertentu yang disembunyikan dalam sistem hukum yang termodifikasi secara logika rasional, sehingga kebenaran hukum yang dihasilkan seolah-olah telah benar secara prosedural. Akal cenderung untuk melakukan berbagai cara dalam mencapai tujuan dengan argumentasi yang tersususun secara sistematis logis untuk memberi penguatan-penguatan terhadap suatu kebenaran hukum yang mendukung kepentingannya, sehingga hal ini sering bertentangan dengan pandangan mahzab sejarah hukum yang memandang hukum seperti tradisi kebiasan masyarakat.</w:t>
      </w:r>
    </w:p>
    <w:p w:rsidR="002145C9" w:rsidRPr="0063725A" w:rsidRDefault="002145C9" w:rsidP="002145C9">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ab/>
      </w:r>
      <w:r w:rsidR="00EA24BC">
        <w:rPr>
          <w:rFonts w:ascii="Book Antiqua" w:hAnsi="Book Antiqua" w:cs="Arial"/>
          <w:sz w:val="24"/>
          <w:szCs w:val="24"/>
        </w:rPr>
        <w:t xml:space="preserve">          </w:t>
      </w:r>
      <w:r w:rsidRPr="0063725A">
        <w:rPr>
          <w:rFonts w:ascii="Book Antiqua" w:hAnsi="Book Antiqua" w:cs="Arial"/>
          <w:sz w:val="24"/>
          <w:szCs w:val="24"/>
        </w:rPr>
        <w:t>Pertentangan metode induktif dan deduktif dalam ilmu hukum menjadi konflik yang sering muncul sepanjang sejarah dalam upaya untuk memperoleh kebenaran hukum.Contoh permasalahan hukum yang dapat menjadi konflik antara epistemologi ilmu hukum yang dikembangkan dengan sarana penalaran akal dan indera;</w:t>
      </w:r>
    </w:p>
    <w:p w:rsidR="002145C9" w:rsidRPr="0063725A" w:rsidRDefault="002145C9" w:rsidP="002145C9">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 xml:space="preserve">Semua orang yang mencuri dihukum penjara </w:t>
      </w:r>
    </w:p>
    <w:p w:rsidR="002145C9" w:rsidRPr="0063725A" w:rsidRDefault="002145C9" w:rsidP="002145C9">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 xml:space="preserve">Si “A” telah mencuri </w:t>
      </w:r>
    </w:p>
    <w:p w:rsidR="002145C9" w:rsidRPr="0063725A" w:rsidRDefault="002145C9" w:rsidP="002145C9">
      <w:pPr>
        <w:tabs>
          <w:tab w:val="right" w:leader="dot" w:pos="7938"/>
        </w:tabs>
        <w:spacing w:after="0" w:line="240" w:lineRule="auto"/>
        <w:jc w:val="both"/>
        <w:rPr>
          <w:rFonts w:ascii="Book Antiqua" w:hAnsi="Book Antiqua" w:cs="Arial"/>
          <w:sz w:val="24"/>
          <w:szCs w:val="24"/>
        </w:rPr>
      </w:pPr>
      <w:r w:rsidRPr="0063725A">
        <w:rPr>
          <w:rFonts w:ascii="Book Antiqua" w:hAnsi="Book Antiqua" w:cs="Arial"/>
          <w:sz w:val="24"/>
          <w:szCs w:val="24"/>
        </w:rPr>
        <w:t>Si “A” dihukum penjara</w:t>
      </w:r>
    </w:p>
    <w:p w:rsidR="002145C9" w:rsidRPr="0063725A" w:rsidRDefault="002145C9" w:rsidP="002145C9">
      <w:pPr>
        <w:tabs>
          <w:tab w:val="right" w:leader="dot" w:pos="7938"/>
        </w:tabs>
        <w:spacing w:after="0" w:line="240" w:lineRule="auto"/>
        <w:jc w:val="both"/>
        <w:rPr>
          <w:rFonts w:ascii="Book Antiqua" w:hAnsi="Book Antiqua" w:cs="Arial"/>
          <w:sz w:val="24"/>
          <w:szCs w:val="24"/>
        </w:rPr>
      </w:pPr>
    </w:p>
    <w:p w:rsidR="002145C9" w:rsidRPr="0063725A" w:rsidRDefault="002145C9" w:rsidP="002145C9">
      <w:pPr>
        <w:tabs>
          <w:tab w:val="right" w:leader="dot" w:pos="7938"/>
        </w:tabs>
        <w:spacing w:after="0" w:line="480" w:lineRule="auto"/>
        <w:jc w:val="both"/>
        <w:rPr>
          <w:rFonts w:ascii="Book Antiqua" w:hAnsi="Book Antiqua" w:cs="Arial"/>
          <w:sz w:val="24"/>
          <w:szCs w:val="24"/>
        </w:rPr>
      </w:pPr>
      <w:r w:rsidRPr="0063725A">
        <w:rPr>
          <w:rFonts w:ascii="Book Antiqua" w:hAnsi="Book Antiqua" w:cs="Arial"/>
          <w:sz w:val="24"/>
          <w:szCs w:val="24"/>
        </w:rPr>
        <w:t>Kesimpulan yang diambil, jika mengacu pada metode penalaran akal secara deduktif telah benar, seperti dikatakan Ludwing von Wiittgenstein.</w:t>
      </w:r>
      <w:r w:rsidRPr="0063725A">
        <w:rPr>
          <w:rStyle w:val="FootnoteReference"/>
          <w:rFonts w:ascii="Book Antiqua" w:hAnsi="Book Antiqua" w:cs="Arial"/>
          <w:sz w:val="24"/>
          <w:szCs w:val="24"/>
        </w:rPr>
        <w:footnoteReference w:id="250"/>
      </w:r>
      <w:r w:rsidRPr="0063725A">
        <w:rPr>
          <w:rFonts w:ascii="Book Antiqua" w:hAnsi="Book Antiqua" w:cs="Arial"/>
          <w:sz w:val="24"/>
          <w:szCs w:val="24"/>
        </w:rPr>
        <w:t xml:space="preserve"> Akan tetapi jika dipahami dengan metode induktif, kesimpulan memberikan hukuman penjara </w:t>
      </w:r>
      <w:r w:rsidRPr="0063725A">
        <w:rPr>
          <w:rFonts w:ascii="Book Antiqua" w:hAnsi="Book Antiqua" w:cs="Arial"/>
          <w:sz w:val="24"/>
          <w:szCs w:val="24"/>
        </w:rPr>
        <w:lastRenderedPageBreak/>
        <w:t xml:space="preserve">terhadap Si “A” belum tentu benar. Hal itu perlu dilihat apakah menjadi suatu tradisi kebiasaan yang ada di masyarakat, apakah Si “A” benar-benar dikategorikan telah melakukan tindakan pencurian atau hanya mengambil sesuatu benda yang oleh masyarakat dipandang sebagai hal yang biasa dilakukan, seperti mengambil sebuah jagung sisa hasil panen tanpa bermaksud untuk menguntungkan diri sendiri dalam masyarakat tradisional dianggap sesuatu yang biasa dan tidak termasuk kategori tindakan pencurian. Penolakan ini sama dengan prinsip metode penalaran induktif sebagaimana dikemukakan oleh A.B. Shah dalam </w:t>
      </w:r>
      <w:r w:rsidRPr="0063725A">
        <w:rPr>
          <w:rFonts w:ascii="Book Antiqua" w:hAnsi="Book Antiqua" w:cs="Arial"/>
          <w:i/>
          <w:sz w:val="24"/>
          <w:szCs w:val="24"/>
        </w:rPr>
        <w:t>scientific method</w:t>
      </w:r>
      <w:r w:rsidRPr="0063725A">
        <w:rPr>
          <w:rFonts w:ascii="Book Antiqua" w:hAnsi="Book Antiqua" w:cs="Arial"/>
          <w:sz w:val="24"/>
          <w:szCs w:val="24"/>
        </w:rPr>
        <w:t>,</w:t>
      </w:r>
      <w:r w:rsidRPr="0063725A">
        <w:rPr>
          <w:rStyle w:val="FootnoteReference"/>
          <w:rFonts w:ascii="Book Antiqua" w:hAnsi="Book Antiqua" w:cs="Arial"/>
          <w:sz w:val="24"/>
          <w:szCs w:val="24"/>
        </w:rPr>
        <w:footnoteReference w:id="251"/>
      </w:r>
      <w:r w:rsidRPr="0063725A">
        <w:rPr>
          <w:rFonts w:ascii="Book Antiqua" w:hAnsi="Book Antiqua" w:cs="Arial"/>
          <w:sz w:val="24"/>
          <w:szCs w:val="24"/>
        </w:rPr>
        <w:t xml:space="preserve"> yang berusaha melakukan generalisir terhadap beberapa perbuatan lain yang sama. Dengan pemahaman metode induktif, tindakan mengambil sebuah jagung dari sisa hasil panen dikategorikan sebagai perbuatan biasa yang sama dilakukan oleh beberapa orang di masyarakat, sehingga terhadap perbuatan Si “A” tidak dapat di hukum penjara. Dalam kasus tersebut metode penalaran induksi sangat penting, untuk menjelaskan kasus hukum yang terjadi di masyarakat secara nyata, sehingga dapat diketahui kebenaran riil yang sering bertentangan dengan cara kerja logika hukum dalam peraturan perundang-undangan. Prinsip dasar yang digunakan metode induksi berbeda dengan cara kerja logika hukum dalam peraturan perundang-undangan, karena berjalan dari sesuatu yang diketahui menuju kepada sesuatu yang belum,</w:t>
      </w:r>
      <w:r w:rsidRPr="0063725A">
        <w:rPr>
          <w:rStyle w:val="FootnoteReference"/>
          <w:rFonts w:ascii="Book Antiqua" w:hAnsi="Book Antiqua" w:cs="Arial"/>
          <w:sz w:val="24"/>
          <w:szCs w:val="24"/>
        </w:rPr>
        <w:footnoteReference w:id="252"/>
      </w:r>
      <w:r w:rsidRPr="0063725A">
        <w:rPr>
          <w:rFonts w:ascii="Book Antiqua" w:hAnsi="Book Antiqua" w:cs="Arial"/>
          <w:sz w:val="24"/>
          <w:szCs w:val="24"/>
        </w:rPr>
        <w:t>sehingga dengan demikian terhadap kebenaran harus dibuktikan secara empiris sebelum dilakukan justifikasi.</w:t>
      </w:r>
    </w:p>
    <w:p w:rsidR="008258F9" w:rsidRPr="00EA24BC" w:rsidRDefault="002145C9" w:rsidP="00EA24BC">
      <w:pPr>
        <w:tabs>
          <w:tab w:val="right" w:leader="dot" w:pos="7938"/>
        </w:tabs>
        <w:spacing w:after="0" w:line="480" w:lineRule="auto"/>
        <w:jc w:val="both"/>
        <w:rPr>
          <w:rFonts w:ascii="Book Antiqua" w:eastAsia="Times New Roman" w:hAnsi="Book Antiqua" w:cs="Arial"/>
          <w:sz w:val="24"/>
          <w:szCs w:val="24"/>
        </w:rPr>
      </w:pPr>
      <w:r w:rsidRPr="0063725A">
        <w:rPr>
          <w:rFonts w:ascii="Book Antiqua" w:hAnsi="Book Antiqua" w:cs="Arial"/>
          <w:sz w:val="24"/>
          <w:szCs w:val="24"/>
        </w:rPr>
        <w:tab/>
      </w:r>
      <w:r w:rsidR="00EA24BC">
        <w:rPr>
          <w:rFonts w:ascii="Book Antiqua" w:hAnsi="Book Antiqua" w:cs="Arial"/>
          <w:sz w:val="24"/>
          <w:szCs w:val="24"/>
        </w:rPr>
        <w:t xml:space="preserve">          </w:t>
      </w:r>
      <w:r w:rsidRPr="0063725A">
        <w:rPr>
          <w:rFonts w:ascii="Book Antiqua" w:eastAsia="Times New Roman" w:hAnsi="Book Antiqua" w:cs="Arial"/>
          <w:sz w:val="24"/>
          <w:szCs w:val="24"/>
        </w:rPr>
        <w:t xml:space="preserve">Validitas kebenaran hukum yang dihasilkan dengan sarana penalaran akal dalam positivisme hukum adalah pernyataan yang bersifat koherensi atau </w:t>
      </w:r>
      <w:r w:rsidRPr="0063725A">
        <w:rPr>
          <w:rFonts w:ascii="Book Antiqua" w:eastAsia="Times New Roman" w:hAnsi="Book Antiqua" w:cs="Arial"/>
          <w:sz w:val="24"/>
          <w:szCs w:val="24"/>
        </w:rPr>
        <w:lastRenderedPageBreak/>
        <w:t>konsistensi secara yuridis, bukan prinsip korespondensi yang sesuai dengan tradisi kebiasaan yang ada dalam pergaulan masyarakat. Hukum menurut Kelsen harus dapat dipahami secara analisis logis berdasarkan cara berpikir hukum yang yuristik analitik.</w:t>
      </w:r>
      <w:r w:rsidRPr="0063725A">
        <w:rPr>
          <w:rStyle w:val="FootnoteReference"/>
          <w:rFonts w:ascii="Book Antiqua" w:eastAsia="Times New Roman" w:hAnsi="Book Antiqua" w:cs="Arial"/>
          <w:sz w:val="24"/>
          <w:szCs w:val="24"/>
        </w:rPr>
        <w:footnoteReference w:id="253"/>
      </w:r>
      <w:r w:rsidRPr="0063725A">
        <w:rPr>
          <w:rFonts w:ascii="Book Antiqua" w:eastAsia="Times New Roman" w:hAnsi="Book Antiqua" w:cs="Arial"/>
          <w:sz w:val="24"/>
          <w:szCs w:val="24"/>
        </w:rPr>
        <w:t xml:space="preserve"> Teori hukum murni yang memisahkan hukum dengan unsur-unsur sosialnon-hukum yang ada dalam pergaulan masyarakat tidak dapat dinilai valid oleh kebenaran metode penalaran induktif yang menggunakan validitas korespondensi, karena dinilai hanya mendasarkan pada konsep kebenaran ide yang telah tersusun sedemikian rupa dalam peraturan perundang-undangan. K</w:t>
      </w:r>
      <w:r w:rsidRPr="0063725A">
        <w:rPr>
          <w:rFonts w:ascii="Book Antiqua" w:hAnsi="Book Antiqua" w:cs="Arial"/>
          <w:sz w:val="24"/>
          <w:szCs w:val="24"/>
        </w:rPr>
        <w:t>orespondensi menjadi cara yang penting untuk menentukan validitas dan keabsahan kebenaran pengetahuan yang nyata dari suatu ilmu pengetahuan dalam epistemologi yang dikembangkan dengan sarana penalaran indera. Kebenaran menurut Ernst Mach merupakan kesetiaan kepada realitas objektif, kebenaran adalah persesuaiannya dengan fakta, bahwa pengetahuan mengenai realitas dan kenyataan berada dalam posisi sejajar secara harmonis. Sesuatu dipandang benar jika telah sesuai dengan fakta atau dapat dikatakan bahwa kebenaran adalah sebuah persesuaian antara pernyataan dan kenyataan.</w:t>
      </w:r>
      <w:r w:rsidRPr="0063725A">
        <w:rPr>
          <w:rStyle w:val="FootnoteReference"/>
          <w:rFonts w:ascii="Book Antiqua" w:hAnsi="Book Antiqua" w:cs="Arial"/>
          <w:sz w:val="24"/>
          <w:szCs w:val="24"/>
        </w:rPr>
        <w:footnoteReference w:id="254"/>
      </w:r>
      <w:r w:rsidRPr="0063725A">
        <w:rPr>
          <w:rFonts w:ascii="Book Antiqua" w:hAnsi="Book Antiqua" w:cs="Arial"/>
          <w:sz w:val="24"/>
          <w:szCs w:val="24"/>
        </w:rPr>
        <w:t xml:space="preserve"> Positivisme hukum dalam </w:t>
      </w:r>
      <w:r w:rsidRPr="0063725A">
        <w:rPr>
          <w:rFonts w:ascii="Book Antiqua" w:eastAsia="Times New Roman" w:hAnsi="Book Antiqua" w:cs="Arial"/>
          <w:sz w:val="24"/>
          <w:szCs w:val="24"/>
        </w:rPr>
        <w:t>meredam tuntutan mahzab sejarah hukum mengusung suatu paradigma berupa tafsir hermeneutik. Dalam hal ini, ketika teks tidak dipahami sebagai kumpulan yang baku dan rijid, maka signifikasi hermeneutikadalah suatu percakapan dialogis antarateks yang terdapat dalam peraturan perundang-undangan dengan konteks yang terdapat dalam realitas empiris. Akan tetapi, tafsir hermeneutik pada dasarnya hanya akan dapat bekerja dan diberlakukan jika teks telah ada.</w:t>
      </w: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11</w:t>
      </w:r>
      <w:r w:rsidRPr="0030390C">
        <w:rPr>
          <w:rFonts w:ascii="Book Antiqua" w:hAnsi="Book Antiqua" w:cs="Times New Roman"/>
          <w:b/>
          <w:sz w:val="32"/>
          <w:szCs w:val="32"/>
        </w:rPr>
        <w:t xml:space="preserve"> </w:t>
      </w:r>
      <w:r>
        <w:rPr>
          <w:rFonts w:ascii="Book Antiqua" w:hAnsi="Book Antiqua" w:cs="Times New Roman"/>
          <w:b/>
          <w:sz w:val="32"/>
          <w:szCs w:val="32"/>
        </w:rPr>
        <w:t>Dialektik Nalar Empirism Dan Intuisi Hukum</w:t>
      </w:r>
    </w:p>
    <w:p w:rsidR="00D20AF2" w:rsidRDefault="00D20AF2" w:rsidP="008258F9">
      <w:pPr>
        <w:spacing w:after="0" w:line="240" w:lineRule="auto"/>
        <w:jc w:val="center"/>
        <w:rPr>
          <w:rFonts w:ascii="Book Antiqua" w:hAnsi="Book Antiqua" w:cs="Times New Roman"/>
          <w:b/>
          <w:sz w:val="32"/>
          <w:szCs w:val="32"/>
        </w:rPr>
      </w:pP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t xml:space="preserve">          Indera sebagai sarana penalaran untuk mengembangkan epistemologi ilmu pengetahuan, termasuk dalam hukum telah lama digunakan manusia untuk melihat kebenaran dari realitas empiris yang terjadi, sedangkan hati nurani juga telah digunakan untuk memahami kebenaran yang berdasar pada perasaan yang ada dalam benak batin. Epistemologi ilmu hukum yang dikembangkan dengan sarana penalaran indera sejak kelahirannya hingga pada masa perkembangan diwarnai konflik dengan epistemologi ilmu hukum yang dikembangkan dengan hati nurani. Hal ini dapat dilihat dari pergulatan yang terjadi antara mahzab sejarah hukum dengan teori hukum kodrat. Sikap saling mengklaim kebenaran antara epistemologi ilmu hukum yang dikembangkan dengan sarana penalaran indera dengan hati nurani dalamrangka memperebutkan objek epistemologi ilmu hukum, metode penalaran yang digunakan dan kemanfaatan yang diperoleh. Setiap epistemologi ilmu hukum memiliki cara pandang yang berbeda terhadap kebenaran, sehingga dapat menimbulkan konflik.</w:t>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tab/>
      </w:r>
      <w:r w:rsidR="00EA24BC">
        <w:rPr>
          <w:rFonts w:ascii="Book Antiqua" w:eastAsia="Times New Roman" w:hAnsi="Book Antiqua" w:cs="Arial"/>
          <w:sz w:val="24"/>
          <w:szCs w:val="24"/>
        </w:rPr>
        <w:t xml:space="preserve">          </w:t>
      </w:r>
      <w:r w:rsidRPr="00D20AF2">
        <w:rPr>
          <w:rFonts w:ascii="Book Antiqua" w:eastAsia="Times New Roman" w:hAnsi="Book Antiqua" w:cs="Arial"/>
          <w:sz w:val="24"/>
          <w:szCs w:val="24"/>
        </w:rPr>
        <w:t xml:space="preserve">Objek epistemologi ilmu hukum yang dikembangkan dengan sarana penalaran indera sebagaimana dalam mahzab sejarah hukum adalah tradisi kebiasaan dalam pergaulan masyarakat, sedangkan objek epistemologi ilmu hukum yang dikembangkan dengan sarana penalaran hati nurani sebagaimana dalam teori hukum kodrat adalah segala permasalahan hukum yang masuk dalam ranah perasaan hati nurani. Indera yang menjadi sarana penalaran untuk mengembangkan epistemologi mahzab sejarah hukum hanya mengakui objek hukum berupa tradisi kebiasaan dalam pergaulan hidup di masyarakat dan menolak hukum yang berupa segala permasalahan hukum yang masuk dalam ranah perasaan hati nurani. Indera sebagai sarana penalaran untuk menggali dan memperoleh objek hukum yang tampak secara nyata dalam kehidupan masyarakat, sehingga tidak terkait dengan adanya perasaan dalam hati nurani. Indera hanya akan mengakui objek hukum yang dapat diamati secara lahiriah dalam bentuk tradisi kebiasaanmasyarakat, </w:t>
      </w:r>
      <w:r w:rsidRPr="00D20AF2">
        <w:rPr>
          <w:rFonts w:ascii="Book Antiqua" w:eastAsia="Times New Roman" w:hAnsi="Book Antiqua" w:cs="Arial"/>
          <w:sz w:val="24"/>
          <w:szCs w:val="24"/>
        </w:rPr>
        <w:lastRenderedPageBreak/>
        <w:t>bukan apa yang tersembunyi dalam perasaan hati nurani yang bersifat natural dan universal.</w:t>
      </w:r>
      <w:r w:rsidRPr="00D20AF2">
        <w:rPr>
          <w:rStyle w:val="FootnoteReference"/>
          <w:rFonts w:ascii="Book Antiqua" w:eastAsia="Times New Roman" w:hAnsi="Book Antiqua" w:cs="Arial"/>
          <w:sz w:val="24"/>
          <w:szCs w:val="24"/>
        </w:rPr>
        <w:footnoteReference w:id="255"/>
      </w:r>
    </w:p>
    <w:p w:rsidR="00346169" w:rsidRPr="00D20AF2" w:rsidRDefault="00346169" w:rsidP="0063725A">
      <w:pPr>
        <w:tabs>
          <w:tab w:val="right" w:leader="dot" w:pos="7938"/>
        </w:tabs>
        <w:spacing w:after="0" w:line="360" w:lineRule="auto"/>
        <w:jc w:val="both"/>
        <w:rPr>
          <w:rFonts w:ascii="Book Antiqua" w:hAnsi="Book Antiqua"/>
          <w:iCs/>
          <w:sz w:val="24"/>
          <w:szCs w:val="24"/>
        </w:rPr>
      </w:pPr>
      <w:r w:rsidRPr="00D20AF2">
        <w:rPr>
          <w:rFonts w:ascii="Book Antiqua" w:hAnsi="Book Antiqua" w:cs="Arial"/>
          <w:sz w:val="24"/>
          <w:szCs w:val="24"/>
        </w:rPr>
        <w:t xml:space="preserve">          Aristoteles sebagai seorang filsuf klasik Yunani yang mempelopori indera sebagai instrumen pengetahuan yang dipandang paling benar. Menurut Aristoteles indera merupakan dasar dari semua pengetahuan dan tidak ada pengetahuan lain yang mendahuluinya. Hati nurani hanya akan mendapat pengetahuan dari realitas empiris yang tertangkap oleh indera. </w:t>
      </w:r>
      <w:r w:rsidRPr="00D20AF2">
        <w:rPr>
          <w:rFonts w:ascii="Book Antiqua" w:eastAsia="Calibri" w:hAnsi="Book Antiqua" w:cs="Arial"/>
          <w:sz w:val="24"/>
          <w:szCs w:val="24"/>
        </w:rPr>
        <w:t>John Locke menyatakan, bahwa semua pengetahuan manusia bersumber dari pengalaman empiris inderawi,</w:t>
      </w:r>
      <w:r w:rsidRPr="00D20AF2">
        <w:rPr>
          <w:rFonts w:ascii="Book Antiqua" w:eastAsia="Calibri" w:hAnsi="Book Antiqua" w:cs="Arial"/>
          <w:sz w:val="24"/>
          <w:szCs w:val="24"/>
          <w:vertAlign w:val="superscript"/>
        </w:rPr>
        <w:footnoteReference w:id="256"/>
      </w:r>
      <w:r w:rsidRPr="00D20AF2">
        <w:rPr>
          <w:rFonts w:ascii="Book Antiqua" w:eastAsia="Calibri" w:hAnsi="Book Antiqua" w:cs="Arial"/>
          <w:sz w:val="24"/>
          <w:szCs w:val="24"/>
        </w:rPr>
        <w:t>sehingga dalam hal ini tidak ada kaitannya dengan perasaan yang dihasilkan oleh intuisihati nurani.Hati nurani hanya akan mendapat pengetahuan dari semakin banyaknya pengalaman empiris yang ditangkap indera.</w:t>
      </w:r>
      <w:r w:rsidRPr="00D20AF2">
        <w:rPr>
          <w:rFonts w:ascii="Book Antiqua" w:hAnsi="Book Antiqua" w:cs="Arial"/>
          <w:sz w:val="24"/>
          <w:szCs w:val="24"/>
        </w:rPr>
        <w:t xml:space="preserve"> Kaum sufi yang cenderung mendasarkan kebenaran pada hati nurani memiliki pemahaman yang berlawanan dengan paham empirisme, karena lebih cenderung untuk mengikuti apa yang menjadi suara hati daripada apa yang nampak secara fisik. Artinya dalam pandangan sufi kebenaran yang dihasilkan oleh hati nurani dinilai dan diyakini lebih baik daripada kebenaran yang dihasilkan indera secara empiris, sehingga hati nurani dalam pemahaman kaum sufi lebih memberikanrasa keyakinan untuk diikuti daripada realitas yang tampak secara nyata.</w:t>
      </w:r>
      <w:r w:rsidRPr="00D20AF2">
        <w:rPr>
          <w:rFonts w:ascii="Book Antiqua" w:hAnsi="Book Antiqua"/>
          <w:iCs/>
          <w:sz w:val="24"/>
          <w:szCs w:val="24"/>
          <w:vertAlign w:val="superscript"/>
        </w:rPr>
        <w:footnoteReference w:id="257"/>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hAnsi="Book Antiqua"/>
          <w:iCs/>
          <w:sz w:val="24"/>
          <w:szCs w:val="24"/>
        </w:rPr>
        <w:tab/>
      </w:r>
      <w:r w:rsidR="00EA24BC">
        <w:rPr>
          <w:rFonts w:ascii="Book Antiqua" w:hAnsi="Book Antiqua"/>
          <w:iCs/>
          <w:sz w:val="24"/>
          <w:szCs w:val="24"/>
        </w:rPr>
        <w:t xml:space="preserve">          </w:t>
      </w:r>
      <w:r w:rsidRPr="00D20AF2">
        <w:rPr>
          <w:rFonts w:ascii="Book Antiqua" w:hAnsi="Book Antiqua" w:cs="Arial"/>
          <w:sz w:val="24"/>
          <w:szCs w:val="24"/>
        </w:rPr>
        <w:t>O</w:t>
      </w:r>
      <w:r w:rsidRPr="00D20AF2">
        <w:rPr>
          <w:rFonts w:ascii="Book Antiqua" w:eastAsia="Times New Roman" w:hAnsi="Book Antiqua" w:cs="Arial"/>
          <w:sz w:val="24"/>
          <w:szCs w:val="24"/>
        </w:rPr>
        <w:t xml:space="preserve">bjek hukum seperti dalam hati nurani akan muncul ketika terjadi kesalahan atau disparitas yang bersifat negatif dari realitas empiris hukum yang terjadi. Oleh karena itu, objek ilmu hukum yang dikembangkan dengan sarana penalaran indera dapat bergeser ke dalam menjadi objek ilmu hukum yang dikembangkan dengan sarana penalaran hati nurani, karena indera dinilai tidak mampu memberikan kebenaran yang dirasa meyakinkan. Sikap dan perbuatan baik yang dikatakan ikhlas </w:t>
      </w:r>
      <w:r w:rsidRPr="00D20AF2">
        <w:rPr>
          <w:rFonts w:ascii="Book Antiqua" w:eastAsia="Calibri" w:hAnsi="Book Antiqua" w:cs="Arial"/>
          <w:sz w:val="24"/>
          <w:szCs w:val="24"/>
        </w:rPr>
        <w:t xml:space="preserve">pada dasarnya merupakan bentuk dari adanya nilai-nilaidari suara hati nurani manusia. </w:t>
      </w:r>
      <w:r w:rsidRPr="00D20AF2">
        <w:rPr>
          <w:rFonts w:ascii="Book Antiqua" w:eastAsia="Times New Roman" w:hAnsi="Book Antiqua" w:cs="Arial"/>
          <w:sz w:val="24"/>
          <w:szCs w:val="24"/>
        </w:rPr>
        <w:t xml:space="preserve">Realitas perkembangan kehidupan masyarakat yang sangat keras dan penuh dengan persaingan dan konflik dapat menimbulkan permasalahan yang hanya dapat dirasakan oleh hati nurani, bukan indera secara empiris. Terhadap apa </w:t>
      </w:r>
      <w:r w:rsidRPr="00D20AF2">
        <w:rPr>
          <w:rFonts w:ascii="Book Antiqua" w:eastAsia="Times New Roman" w:hAnsi="Book Antiqua" w:cs="Arial"/>
          <w:sz w:val="24"/>
          <w:szCs w:val="24"/>
        </w:rPr>
        <w:lastRenderedPageBreak/>
        <w:t xml:space="preserve">yang dipandang baik oleh mata, ternyata menyimpan keburukan dalam hatinya. Fenomena realitas nyata kehidupan manusia yang semakin bebas dalam mencapai tujuan untuk memenuhi kepentingan duniawi telah mengikis perasaan batin manusia sebagai mahluk yang memiliki hati nurani. Tradisi kebiasaan yang seolah-olah tampak baik, ternyata melukai perasaan yang terdapat dalam hati nurani.Hal-hal tersebut membuktikan kontradiksi antara realitas yang ada dengan apa yang ada dalam hati nurani. </w:t>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t xml:space="preserve">          Objek epistemologi ilmu hukum yang dikembangkan dengan sarana penalaran indera yang berupa tradisi kebiasaan dalam pergaulan hidup masyarakat seperti dianut dalam mahzab sejarah hukum hukum sulit diterima oleh teori hukum kodrat yang khususnya dikembangkan dengan sarana penalaran hati nurani. Indera dalam mahzab sejarah hukum memberi pengaruh kuat terhadap hukum yang menekankan perhatiannya pada aktifitas fisik masyarakat, bukan pada perasaan hukum yang ada dalam batin manusia. Tradisi kebiasaan yang terjadi di masyarakat merupakan dasar dari asumsi pandangan mahzab sejarah hukum yang berusaha untuk memahami hukum melalui proses interaksi dengan masyarakat. Menurut mahzab sejarah hukum, hukum pada dasarnya bersumber dari suatu tradisi kebiasaan.</w:t>
      </w:r>
      <w:r w:rsidRPr="00D20AF2">
        <w:rPr>
          <w:rFonts w:ascii="Book Antiqua" w:eastAsia="Times New Roman" w:hAnsi="Book Antiqua" w:cs="Arial"/>
          <w:sz w:val="24"/>
          <w:szCs w:val="24"/>
          <w:vertAlign w:val="superscript"/>
        </w:rPr>
        <w:footnoteReference w:id="258"/>
      </w:r>
      <w:r w:rsidRPr="00D20AF2">
        <w:rPr>
          <w:rFonts w:ascii="Book Antiqua" w:eastAsia="Times New Roman" w:hAnsi="Book Antiqua" w:cs="Arial"/>
          <w:sz w:val="24"/>
          <w:szCs w:val="24"/>
        </w:rPr>
        <w:t xml:space="preserve"> Hukum sebagai realitas sosial empiris dalam pergaulan hidup akan terus hidup dan berkembang sesuai dengan dinamika masyarakat yang ada. Oleh karena itu, hukum tidak dapat berlaku secara umum seperti dalam prinsip univeraslitas hukum kodrat. Prinsip umum dari hati nurani dipandang tidak cukup mampu untuk menjelaskan hukum yang sangat konkrit kompleksitas dan variasinya. Konflik indera dan hati nurani dalam memandang objek dapat dikatakan, bahwa belum tentu yang tampaknya buruk dalam pandangan realitas empiris ternyata menyimpan kebaikan di dalamnya dan sebaliknya, yang tampak baik dalam pandangan realitas empiris ternyata menyimpan keburukan di dalamnya.</w:t>
      </w:r>
    </w:p>
    <w:p w:rsidR="00346169" w:rsidRPr="00D20AF2" w:rsidRDefault="00EA24BC" w:rsidP="0063725A">
      <w:pPr>
        <w:tabs>
          <w:tab w:val="right" w:leader="dot" w:pos="7938"/>
        </w:tabs>
        <w:spacing w:after="0" w:line="36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346169" w:rsidRPr="00D20AF2">
        <w:rPr>
          <w:rFonts w:ascii="Book Antiqua" w:eastAsia="Times New Roman" w:hAnsi="Book Antiqua" w:cs="Arial"/>
          <w:sz w:val="24"/>
          <w:szCs w:val="24"/>
        </w:rPr>
        <w:t xml:space="preserve">Konflik epistemologi ilmu hukum yang dikembangkan dengan sarana penalaran indera dengan hati nurani dapat dilihat dari penolakan klaim universalisme aliran hukum alam oleh pandangan mahzab sejarah hukum Savigny </w:t>
      </w:r>
      <w:r w:rsidR="00346169" w:rsidRPr="00D20AF2">
        <w:rPr>
          <w:rFonts w:ascii="Book Antiqua" w:eastAsia="Times New Roman" w:hAnsi="Book Antiqua" w:cs="Arial"/>
          <w:sz w:val="24"/>
          <w:szCs w:val="24"/>
        </w:rPr>
        <w:lastRenderedPageBreak/>
        <w:t>yang dikemukakan Julius Stone.</w:t>
      </w:r>
      <w:r w:rsidR="00346169" w:rsidRPr="00D20AF2">
        <w:rPr>
          <w:rFonts w:ascii="Book Antiqua" w:eastAsia="Times New Roman" w:hAnsi="Book Antiqua" w:cs="Arial"/>
          <w:sz w:val="24"/>
          <w:szCs w:val="24"/>
          <w:vertAlign w:val="superscript"/>
        </w:rPr>
        <w:footnoteReference w:id="259"/>
      </w:r>
      <w:r w:rsidR="00346169" w:rsidRPr="00D20AF2">
        <w:rPr>
          <w:rFonts w:ascii="Book Antiqua" w:eastAsia="Times New Roman" w:hAnsi="Book Antiqua" w:cs="Arial"/>
          <w:sz w:val="24"/>
          <w:szCs w:val="24"/>
        </w:rPr>
        <w:t xml:space="preserve"> Pandangan yang menyatakan bahwa hukum sebagai realitas empiris sosial yang ada di dalam masyarakat dan bukan hukum yang ada dalam perasaan batin hati nurani manusia selain dipengaruhi oleh beberapa pandangan dalam ilmu pengetahuan. Hal ini dapat dilihat dari sikap kaum empirisme yang lebih percaya pada pengalaman daripada perasaan hatinurani yang bersifat batiniah, sehingga cara pandang ini memberi pengaruh terhadap hukum yang menekankan perhatian pada perilaku nyata lahiriyah berbentuk tradisi kebiasaan, bukan pada nilai-nilai internal yang bersumber dari hati nurani. Epistemologi ilmu hukum yang dikembangkan dengan sarana penalaran indera seperti yang terdapat dalam mahzab sejarah hukum dengan pemahaman tersebut lebih cenderung mengarahkan perhatiannya pada pergaulan yang ada di masyarakat, bukan pada perasaan hukum yang hidup dalam hati nurani. Kesulitan indera untuk memahami dan menangkap kebenaran yang terdapat dalam perasaan yang bersumber dari hati nurani, karena terletak dalam benak batin diri pribadi manusia yang bersifat intersubjektif, sehingga hanya dirinya sendiri yang memahami perasaan yang ada.</w:t>
      </w:r>
      <w:r w:rsidR="00346169" w:rsidRPr="00D20AF2">
        <w:rPr>
          <w:rStyle w:val="FootnoteReference"/>
          <w:rFonts w:ascii="Book Antiqua" w:eastAsia="Times New Roman" w:hAnsi="Book Antiqua" w:cs="Arial"/>
          <w:sz w:val="24"/>
          <w:szCs w:val="24"/>
        </w:rPr>
        <w:footnoteReference w:id="260"/>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t xml:space="preserve">          Hati nurani dalam hukum hadir dengan mengusung pemahaman yang bersifat intuitif dalam merasakan objek hukum, sehingga perasaan yang menuntut kerja hati tidak mudah untuk ditipu atau dikelabuhi dengan wujud yang belum tentu benar. Kelemahan indera sebagai sarana penalaran dalam mengembangkan epistemologi mahzab sejarah hukum yang mengakibatkanya tersingkir dari dunia hukum, menurut hukum kodrat adalah karena kegagalannya untuk menampilkan objek hukum secara hakikat dan tetap, sehingga terhadap realitas hukum tidak dapat dilakukan analisis terhadapnya secara mendalam dan sebagai akibat sering berubah sesuai dengan realitas perilaku manusia. Sifat objek yang khusus dan unik dari realisme hukum yang mendasarkan sarana penalaran indera menurut hukum kodrat mengakibatkan hukum tidak memiliki nilai yang tetap. Sejarah hukum memiliki pandangan sendiri dan berbeda-beda terhadap objek hukum yang berupa pergaulan hidup di masyarakat, karena itu merupakan bentuk dari gambaran </w:t>
      </w:r>
      <w:r w:rsidRPr="00D20AF2">
        <w:rPr>
          <w:rFonts w:ascii="Book Antiqua" w:eastAsia="Times New Roman" w:hAnsi="Book Antiqua" w:cs="Arial"/>
          <w:sz w:val="24"/>
          <w:szCs w:val="24"/>
        </w:rPr>
        <w:lastRenderedPageBreak/>
        <w:t>kehidupan manusia yang dinamis selalu berubah. Sejarah hukum ini dinilai bersifat labil dan tidak tetap serta dianggap gagal memberikan keyakinan hukum yang dilatar belakangi oleh pandangan terhadap objek hukum yang bersifat variatif. Gelombang era postmodern dinilai telah mengembalikan peran perasaan hati nurani dalam kehidupan masyarakat yang mengalami krisis peradaban. Prinsip-prinsip batiniah tidak hanya menggeser rasional akal, tetapi juga empirisme inderawi yang dinilai lebih mendekatkan manusia pada sifat materialisme yang menilai segala sesuatu dari objek yang harus berwujud.</w:t>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color w:val="FF0000"/>
          <w:sz w:val="24"/>
          <w:szCs w:val="24"/>
        </w:rPr>
        <w:tab/>
      </w:r>
      <w:r w:rsidR="00EA24BC">
        <w:rPr>
          <w:rFonts w:ascii="Book Antiqua" w:eastAsia="Times New Roman" w:hAnsi="Book Antiqua" w:cs="Arial"/>
          <w:color w:val="FF0000"/>
          <w:sz w:val="24"/>
          <w:szCs w:val="24"/>
        </w:rPr>
        <w:t xml:space="preserve">           </w:t>
      </w:r>
      <w:r w:rsidRPr="00D20AF2">
        <w:rPr>
          <w:rFonts w:ascii="Book Antiqua" w:eastAsia="Times New Roman" w:hAnsi="Book Antiqua" w:cs="Arial"/>
          <w:sz w:val="24"/>
          <w:szCs w:val="24"/>
        </w:rPr>
        <w:t>Menurut J.W Harris pada zaman dulu manusia memahami suatu nilai-nilai yang diyakini baik atas dasar kesadaran pribadi yang berasal dari intuisi hati nurani,</w:t>
      </w:r>
      <w:r w:rsidRPr="00D20AF2">
        <w:rPr>
          <w:rFonts w:ascii="Book Antiqua" w:hAnsi="Book Antiqua"/>
          <w:sz w:val="24"/>
          <w:szCs w:val="24"/>
          <w:vertAlign w:val="superscript"/>
        </w:rPr>
        <w:footnoteReference w:id="261"/>
      </w:r>
      <w:r w:rsidRPr="00D20AF2">
        <w:rPr>
          <w:rFonts w:ascii="Book Antiqua" w:eastAsia="Times New Roman" w:hAnsi="Book Antiqua" w:cs="Arial"/>
          <w:sz w:val="24"/>
          <w:szCs w:val="24"/>
        </w:rPr>
        <w:t>bukan karena pengaruh tradisi kebiasaan yang ada dalam pergaulan hidup di masyarakat sebagaimana menurut pandangan mahzab sejarah hukum.</w:t>
      </w:r>
      <w:r w:rsidRPr="00D20AF2">
        <w:rPr>
          <w:rStyle w:val="FootnoteReference"/>
          <w:rFonts w:ascii="Book Antiqua" w:eastAsia="Times New Roman" w:hAnsi="Book Antiqua" w:cs="Arial"/>
          <w:sz w:val="24"/>
          <w:szCs w:val="24"/>
        </w:rPr>
        <w:footnoteReference w:id="262"/>
      </w:r>
      <w:r w:rsidRPr="00D20AF2">
        <w:rPr>
          <w:rFonts w:ascii="Book Antiqua" w:eastAsia="Times New Roman" w:hAnsi="Book Antiqua" w:cs="Arial"/>
          <w:sz w:val="24"/>
          <w:szCs w:val="24"/>
        </w:rPr>
        <w:t xml:space="preserve"> Dorongan internal yang berasal dari dalam diri lebih berperan dalam menentukan pemahaman hukum seseorang. Menurut pemahaman yang mendasarkan pada hati nurani, apabila seseorang mengikuti pengaruh tradisi kebiasaan dari lingkungan sosial masyarakat yang buruk, maka juga dapat membawa pengaruh yang buruk terhadap  seseorang tersebut. Oleh karena itu, baik menurut pandangan mata secara empiris belum tentu baik dirasakan dalam hati nurani, karena baik menurut paham empirisme merupakan suatu yang memiliki kesesuaian dengan realitas nyata secara fisik. Suatu tindakan belum dapat dikatakan mempunyai nilai kebenaran secara personal dan independen yang berasal dari dalam hati nurani, karena masih dipengaruhi oleh faktor dari luar diri pribadi manusia yang berupa tradisi kebiasaanmasyarakat. Suatu tindakan jika masih terdapat pengaruh sosial masyarakat, maka belum dapat dikatakan bemilai batiniah, sehingga tindakan tersebut dapat saja menimbulkan bertentangan dengan hati nurani. Hal ini seperti diyakini oleh kaum sufi yang lebih mengutamakan hati nurani dari pada indera dan akal untuk menggali dan memperoleh pengetahuan yang benar. Menurut kaum sufi suatu tindakan bemilai batin jika tindakan tersebut dilaksanakan atas dasar karena adanya rasa keyakinan dalam hati nurani, bukan karena pengaruh dari luar.</w:t>
      </w:r>
      <w:r w:rsidRPr="00D20AF2">
        <w:rPr>
          <w:rStyle w:val="FootnoteReference"/>
          <w:rFonts w:ascii="Book Antiqua" w:eastAsia="Times New Roman" w:hAnsi="Book Antiqua" w:cs="Arial"/>
          <w:sz w:val="24"/>
          <w:szCs w:val="24"/>
        </w:rPr>
        <w:footnoteReference w:id="263"/>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lastRenderedPageBreak/>
        <w:tab/>
      </w:r>
      <w:r w:rsidR="0031085F">
        <w:rPr>
          <w:rFonts w:ascii="Book Antiqua" w:eastAsia="Times New Roman" w:hAnsi="Book Antiqua" w:cs="Arial"/>
          <w:sz w:val="24"/>
          <w:szCs w:val="24"/>
        </w:rPr>
        <w:t xml:space="preserve">          </w:t>
      </w:r>
      <w:r w:rsidRPr="00D20AF2">
        <w:rPr>
          <w:rFonts w:ascii="Book Antiqua" w:hAnsi="Book Antiqua" w:cs="Arial"/>
          <w:sz w:val="24"/>
          <w:szCs w:val="24"/>
        </w:rPr>
        <w:t>Hati nurani melalui cara penalaran intuisi menurut beberapa ahli memiliki kemampuan lebih tinggi daripada sarana penalaran yang lain, termasuk indera dengan metode induktifnya. Hal itu terkait dengan cara memperoleh pengetahuan intuisi hati nurani yang memiliki tingkat kesulitan dan kedalaman yang lebih dari pada empirisme inderawi.</w:t>
      </w:r>
      <w:r w:rsidRPr="00D20AF2">
        <w:rPr>
          <w:rStyle w:val="FootnoteReference"/>
          <w:rFonts w:ascii="Book Antiqua" w:hAnsi="Book Antiqua" w:cs="Arial"/>
          <w:sz w:val="24"/>
          <w:szCs w:val="24"/>
        </w:rPr>
        <w:footnoteReference w:id="264"/>
      </w:r>
      <w:r w:rsidRPr="00D20AF2">
        <w:rPr>
          <w:rFonts w:ascii="Book Antiqua" w:hAnsi="Book Antiqua" w:cs="Arial"/>
          <w:sz w:val="24"/>
          <w:szCs w:val="24"/>
        </w:rPr>
        <w:t xml:space="preserve">Hati nurani dapat memahami suatu objek secara utuh, tetap dan menyeluruh, sedangkan indera hanya mampu menangkap objek yang tampak nyata secara empiris. Menurut Hendry Bergson untuk melakukan proses penalaran intuisi manusia harus berusaha melalui perenungan yang mendalam atau berkontemplasi terhadap suatu objek, tidak cukup hanya dengan melihat realitas fisik yang tampak secara lahiriah. Epistemologi yang dikembangkan dengan sarana penalaran hati nurani dilakukan melalui penalaran intuisi bersifat personal dan intersubjektif serta tidak dapat diramalkan, bukan melalui generalisasi dari pandangan khusus ke pandangan umum yang melibatkan banyak subjek untuk dapat menyamakan (generalisir) fakta-fakta khusus atau dalam hal ini dapat dikatakan pembenaran secara umum. Dalam mengukur validitas dan keabsahan kebenaran yang dihasilkan dari penalaran intuisi yaitu dengan perasaan, sehingga ketajaman batin manusia sangat menentukan kebenaran yang dihasilkan. Hal ini berbeda dengan indera yang dinilai hanya menggunakan metode korespondensi dengan mencocokkan apa yang telah dianggap benar dengan realitas kenyataanempiris di lapangan. </w:t>
      </w:r>
    </w:p>
    <w:p w:rsidR="00346169" w:rsidRPr="00D20AF2" w:rsidRDefault="00346169" w:rsidP="0063725A">
      <w:pPr>
        <w:tabs>
          <w:tab w:val="right" w:leader="dot" w:pos="7938"/>
        </w:tabs>
        <w:spacing w:after="0" w:line="360" w:lineRule="auto"/>
        <w:jc w:val="both"/>
        <w:rPr>
          <w:rFonts w:ascii="Book Antiqua" w:eastAsia="Times New Roman" w:hAnsi="Book Antiqua" w:cs="Arial"/>
          <w:sz w:val="24"/>
          <w:szCs w:val="24"/>
        </w:rPr>
      </w:pPr>
      <w:r w:rsidRPr="00D20AF2">
        <w:rPr>
          <w:rFonts w:ascii="Book Antiqua" w:eastAsia="Times New Roman" w:hAnsi="Book Antiqua" w:cs="Arial"/>
          <w:sz w:val="24"/>
          <w:szCs w:val="24"/>
        </w:rPr>
        <w:t xml:space="preserve">          Hati nurani dengan i</w:t>
      </w:r>
      <w:r w:rsidRPr="00D20AF2">
        <w:rPr>
          <w:rFonts w:ascii="Book Antiqua" w:hAnsi="Book Antiqua" w:cs="Arial"/>
          <w:sz w:val="24"/>
          <w:szCs w:val="24"/>
        </w:rPr>
        <w:t>ntuisi sebagai suatu cara untuk memperoleh kebenaran tidak dapat begitu saja dikesampingkan, bahkan oleh beberapa ilmuan seperti Maslow, intuisi merupakan pengalaman puncak sebagai pembentuk pengetahuan yang benar bagi manusia (</w:t>
      </w:r>
      <w:r w:rsidRPr="00D20AF2">
        <w:rPr>
          <w:rFonts w:ascii="Book Antiqua" w:hAnsi="Book Antiqua" w:cs="Arial"/>
          <w:i/>
          <w:sz w:val="24"/>
          <w:szCs w:val="24"/>
        </w:rPr>
        <w:t>peak experience</w:t>
      </w:r>
      <w:r w:rsidRPr="00D20AF2">
        <w:rPr>
          <w:rFonts w:ascii="Book Antiqua" w:hAnsi="Book Antiqua" w:cs="Arial"/>
          <w:sz w:val="24"/>
          <w:szCs w:val="24"/>
        </w:rPr>
        <w:t>).</w:t>
      </w:r>
      <w:r w:rsidRPr="00D20AF2">
        <w:rPr>
          <w:rStyle w:val="FootnoteReference"/>
          <w:rFonts w:ascii="Book Antiqua" w:hAnsi="Book Antiqua" w:cs="Arial"/>
          <w:sz w:val="24"/>
          <w:szCs w:val="24"/>
        </w:rPr>
        <w:footnoteReference w:id="265"/>
      </w:r>
      <w:r w:rsidRPr="00D20AF2">
        <w:rPr>
          <w:rFonts w:ascii="Book Antiqua" w:hAnsi="Book Antiqua" w:cs="Arial"/>
          <w:sz w:val="24"/>
          <w:szCs w:val="24"/>
        </w:rPr>
        <w:t xml:space="preserve"> Sebagai pengalaman puncak dapat diartikan lebih dari seperti apa yang dapat dipahami dari pengalaman indera, sehingga pengalaman yang diperoleh dari rangkaian suatu fakta yang telah bergulat </w:t>
      </w:r>
      <w:r w:rsidRPr="00D20AF2">
        <w:rPr>
          <w:rFonts w:ascii="Book Antiqua" w:hAnsi="Book Antiqua" w:cs="Arial"/>
          <w:sz w:val="24"/>
          <w:szCs w:val="24"/>
        </w:rPr>
        <w:lastRenderedPageBreak/>
        <w:t>dengan perenungan yang bersifat mendalam sehingga membentuk sebuah kesimpulan yang bermakna tinggi</w:t>
      </w:r>
      <w:r w:rsidRPr="00D20AF2">
        <w:rPr>
          <w:rFonts w:ascii="Book Antiqua" w:eastAsia="Times New Roman" w:hAnsi="Book Antiqua" w:cs="Arial"/>
          <w:sz w:val="24"/>
          <w:szCs w:val="24"/>
        </w:rPr>
        <w:t>. Intuisi hati nurani dalam pemahaman epistemologi hukum bukan hanya sekedar penyesuaian antara realitas empiris di masyarakat yang berupa tradisi kebiasaan dengan sistem norma hukum positif sehingga menghasilkan keputusan hukum yang baik, tetapi menarik permasalahan hukum ke dalam suatu pemahaman yang melibatkan perasaan yang dilakukan dengan cara seperti kaum sufi. Dalam pemahaman epistemologi ilmu hukum yang dikembangkan dengan sarana penalaran hati nurani seperti dalam hukum kodrat, berarti Mahzab sejarah hukum baru dianggap menyentuh aspek fisik secara lahiriah yang tampak dalam tradisi kebiasaan masyarakat, belum menyentuh aspek perasaan yang ada dalam hati nurani.</w:t>
      </w:r>
    </w:p>
    <w:p w:rsidR="00346169" w:rsidRPr="00D20AF2" w:rsidRDefault="00346169" w:rsidP="0063725A">
      <w:pPr>
        <w:tabs>
          <w:tab w:val="right" w:leader="dot" w:pos="7938"/>
        </w:tabs>
        <w:spacing w:after="0" w:line="360" w:lineRule="auto"/>
        <w:jc w:val="both"/>
        <w:rPr>
          <w:rFonts w:ascii="Book Antiqua" w:hAnsi="Book Antiqua" w:cs="Arial"/>
          <w:sz w:val="24"/>
          <w:szCs w:val="24"/>
        </w:rPr>
      </w:pPr>
      <w:r w:rsidRPr="00D20AF2">
        <w:rPr>
          <w:rFonts w:ascii="Book Antiqua" w:eastAsia="Times New Roman" w:hAnsi="Book Antiqua" w:cs="Arial"/>
          <w:sz w:val="24"/>
          <w:szCs w:val="24"/>
        </w:rPr>
        <w:t xml:space="preserve">          Epistemologi yang dikembangkan dengan sarana penalaran </w:t>
      </w:r>
      <w:r w:rsidRPr="00D20AF2">
        <w:rPr>
          <w:rFonts w:ascii="Book Antiqua" w:hAnsi="Book Antiqua" w:cs="Arial"/>
          <w:sz w:val="24"/>
          <w:szCs w:val="24"/>
        </w:rPr>
        <w:t>hati nurani seperti dalam hukum kodrat dinilai memiliki cara kerja yang lebih tinggi daripada sarana penalaran indera yang digunakan untuk melihat secara empiris tradisi kebiasaan yang ada di masyarakat, karena hati nurani mampu menghasilkan kebenaran yang bersifat utuh, tetap dan menyeluruh. Intuisi hati nurani diyakini sebagai metode penalaran yang paling tinggi cara kerjanya, sehingga mampu menyingkirkan semua gejala-gejala yang bersifat khusus dan berubah-ubah yang tertangkap oleh indera secara empiris melalui metode induktif. Nietzsche memahami intuisi sebagai suatu inteligensi dari kemampuan manusia yang paling tinggi,</w:t>
      </w:r>
      <w:r w:rsidRPr="00D20AF2">
        <w:rPr>
          <w:rStyle w:val="FootnoteReference"/>
          <w:rFonts w:ascii="Book Antiqua" w:hAnsi="Book Antiqua" w:cs="Arial"/>
          <w:sz w:val="24"/>
          <w:szCs w:val="24"/>
        </w:rPr>
        <w:footnoteReference w:id="266"/>
      </w:r>
      <w:r w:rsidRPr="00D20AF2">
        <w:rPr>
          <w:rFonts w:ascii="Book Antiqua" w:hAnsi="Book Antiqua" w:cs="Arial"/>
          <w:sz w:val="24"/>
          <w:szCs w:val="24"/>
        </w:rPr>
        <w:t xml:space="preserve"> karena pengetahuan ini tidak lagi dapat dijangkau oleh akal dan apalagi indera manusia. Pengetahuan intuisi tersebut memiliki suatu nilai yang lebih mendalam menyangkut perasaan batin yang ada di dalam hati nurani manusia. Manusia harus mengakui bahwa kemampuan indera memiliki keterbatasan hanya sampai pada apa yang dipandang nyata saja, hal itu dapat dilihat dari metode penalaran yang digunakan bersifat mengeneralisir kebenaran terhadap kasus-kasus yang berbeda yang telah ada seperti disampaikan Francis Bacon.</w:t>
      </w:r>
      <w:r w:rsidRPr="00D20AF2">
        <w:rPr>
          <w:rStyle w:val="FootnoteReference"/>
          <w:rFonts w:ascii="Book Antiqua" w:hAnsi="Book Antiqua" w:cs="Arial"/>
          <w:sz w:val="24"/>
          <w:szCs w:val="24"/>
        </w:rPr>
        <w:footnoteReference w:id="267"/>
      </w:r>
      <w:r w:rsidRPr="00D20AF2">
        <w:rPr>
          <w:rFonts w:ascii="Book Antiqua" w:hAnsi="Book Antiqua" w:cs="Arial"/>
          <w:sz w:val="24"/>
          <w:szCs w:val="24"/>
        </w:rPr>
        <w:t xml:space="preserve"> Sedangkan intuisi yang merupakan penalaran hati nurani tidak dibatasi oleh metode penalaran secara khusus, artinya tidak ada batasan atau ukuran dalam penalaran intuisi, karena tergantung dari kemampuan </w:t>
      </w:r>
      <w:r w:rsidRPr="00D20AF2">
        <w:rPr>
          <w:rFonts w:ascii="Book Antiqua" w:hAnsi="Book Antiqua" w:cs="Arial"/>
          <w:sz w:val="24"/>
          <w:szCs w:val="24"/>
        </w:rPr>
        <w:lastRenderedPageBreak/>
        <w:t>olah batinmanusia dan sekalipun dapat di inferensi, maka hal itu merupakan pengambilan satu kesimpulan dalam tataran yang paling rendah untuk menjelaskan kebenaran hati nurani.</w:t>
      </w:r>
    </w:p>
    <w:p w:rsidR="00346169" w:rsidRPr="00D20AF2" w:rsidRDefault="00346169" w:rsidP="0063725A">
      <w:pPr>
        <w:tabs>
          <w:tab w:val="right" w:leader="dot" w:pos="7938"/>
        </w:tabs>
        <w:spacing w:after="0" w:line="360" w:lineRule="auto"/>
        <w:jc w:val="both"/>
        <w:rPr>
          <w:rFonts w:ascii="Book Antiqua" w:hAnsi="Book Antiqua" w:cs="Arial"/>
          <w:sz w:val="24"/>
          <w:szCs w:val="24"/>
        </w:rPr>
      </w:pPr>
      <w:r w:rsidRPr="00D20AF2">
        <w:rPr>
          <w:rFonts w:ascii="Book Antiqua" w:hAnsi="Book Antiqua" w:cs="Arial"/>
          <w:sz w:val="24"/>
          <w:szCs w:val="24"/>
        </w:rPr>
        <w:tab/>
        <w:t xml:space="preserve">          Intuisi </w:t>
      </w:r>
      <w:r w:rsidRPr="00D20AF2">
        <w:rPr>
          <w:rFonts w:ascii="Book Antiqua" w:eastAsia="Times New Roman" w:hAnsi="Book Antiqua" w:cs="Arial"/>
          <w:sz w:val="24"/>
          <w:szCs w:val="24"/>
        </w:rPr>
        <w:t>sebagai metode penalaran hati nurani, jika merujuk pada ajaran Islam seperti dikemukakan oleh Suhrawardi, harus dilakukan dengan beberapa tahapan, seperti; tahap persiapan, penerimaan, pembentukan dan pengungkapan.</w:t>
      </w:r>
      <w:r w:rsidRPr="00D20AF2">
        <w:rPr>
          <w:rStyle w:val="FootnoteReference"/>
          <w:rFonts w:ascii="Book Antiqua" w:eastAsia="Times New Roman" w:hAnsi="Book Antiqua" w:cs="Arial"/>
          <w:sz w:val="24"/>
          <w:szCs w:val="24"/>
        </w:rPr>
        <w:footnoteReference w:id="268"/>
      </w:r>
      <w:r w:rsidRPr="00D20AF2">
        <w:rPr>
          <w:rFonts w:ascii="Book Antiqua" w:eastAsia="Times New Roman" w:hAnsi="Book Antiqua" w:cs="Arial"/>
          <w:sz w:val="24"/>
          <w:szCs w:val="24"/>
        </w:rPr>
        <w:t xml:space="preserve"> Dalam masing-masing tahap tersebut melibatkan peran seluruh totalitas kemampuan pengetahuan yang ada, sehingga hal inilah yang memposisikan metode penalaran intuisi dari hati nurani memiliki kedudukan yang lebih tinggi dan tidak mengakui metode penalaran induktif dari empirisme inderawi yang dipandang hanya sekedar menghasilkan kebenaran bersifat fisik lahiriah semata. Pengetahuan yang bersifat wujud belum tentu menunjukkan hakikat kebenaran yang sejati.Oleh karena itu, tidak semua orang mampu untuk mencapai pengetahuan yang dibentuk berdasarkan penalaran intuisi hati nurani. Cara penalaran intuisi oleh hati nurani tersebut tentu berbeda dengan </w:t>
      </w:r>
      <w:r w:rsidRPr="00D20AF2">
        <w:rPr>
          <w:rFonts w:ascii="Book Antiqua" w:hAnsi="Book Antiqua" w:cs="Arial"/>
          <w:sz w:val="24"/>
          <w:szCs w:val="24"/>
        </w:rPr>
        <w:t>pandangan aliran empirisme yang menggunakan metode penalaran induktif berdasarkan hasil pengamatan indera secara empiris di lapangan seperti disampaikan Francis Bacon,</w:t>
      </w:r>
      <w:r w:rsidRPr="00D20AF2">
        <w:rPr>
          <w:rStyle w:val="FootnoteReference"/>
          <w:rFonts w:ascii="Book Antiqua" w:hAnsi="Book Antiqua" w:cs="Arial"/>
          <w:sz w:val="24"/>
          <w:szCs w:val="24"/>
        </w:rPr>
        <w:footnoteReference w:id="269"/>
      </w:r>
      <w:r w:rsidRPr="00D20AF2">
        <w:rPr>
          <w:rFonts w:ascii="Book Antiqua" w:hAnsi="Book Antiqua" w:cs="Arial"/>
          <w:sz w:val="24"/>
          <w:szCs w:val="24"/>
        </w:rPr>
        <w:t xml:space="preserve"> yang mengklaim bahwa metode ilmiah yang tepat untuk memahami peristiwa yang telah terjadi sebagai gejala empirisadalah dengan menggunakan metode induktif. Pernyataan Bacon sebagaimana yang dikemukakan oleh Shah A.B. tersebut yang mendasarkan kebenaran pada metode penalaran induktif dari hasil pengamatan indera secara empiris di lapangan.</w:t>
      </w:r>
      <w:r w:rsidRPr="00D20AF2">
        <w:rPr>
          <w:rStyle w:val="FootnoteReference"/>
          <w:rFonts w:ascii="Book Antiqua" w:hAnsi="Book Antiqua" w:cs="Arial"/>
          <w:sz w:val="24"/>
          <w:szCs w:val="24"/>
        </w:rPr>
        <w:footnoteReference w:id="270"/>
      </w:r>
    </w:p>
    <w:p w:rsidR="00346169" w:rsidRPr="00D20AF2" w:rsidRDefault="00346169" w:rsidP="0063725A">
      <w:pPr>
        <w:tabs>
          <w:tab w:val="right" w:leader="dot" w:pos="7938"/>
        </w:tabs>
        <w:spacing w:after="0" w:line="360" w:lineRule="auto"/>
        <w:jc w:val="both"/>
        <w:rPr>
          <w:rFonts w:ascii="Book Antiqua" w:hAnsi="Book Antiqua" w:cs="Arial"/>
          <w:sz w:val="24"/>
          <w:szCs w:val="24"/>
        </w:rPr>
      </w:pPr>
      <w:r w:rsidRPr="00D20AF2">
        <w:rPr>
          <w:rFonts w:ascii="Book Antiqua" w:hAnsi="Book Antiqua" w:cs="Arial"/>
          <w:sz w:val="24"/>
          <w:szCs w:val="24"/>
        </w:rPr>
        <w:tab/>
        <w:t>Contoh permasalahan hukum yang dapat menjadi konflik antara epistemologi ilmu hukum yang dikembangkan dengan sarana penalaran indera dan hati nurani;</w:t>
      </w:r>
    </w:p>
    <w:p w:rsidR="00346169" w:rsidRPr="00D20AF2" w:rsidRDefault="00346169" w:rsidP="0063725A">
      <w:pPr>
        <w:tabs>
          <w:tab w:val="right" w:leader="dot" w:pos="7938"/>
        </w:tabs>
        <w:spacing w:after="0" w:line="360" w:lineRule="auto"/>
        <w:ind w:left="709" w:hanging="709"/>
        <w:jc w:val="both"/>
        <w:rPr>
          <w:rFonts w:ascii="Book Antiqua" w:hAnsi="Book Antiqua" w:cs="Arial"/>
          <w:sz w:val="24"/>
          <w:szCs w:val="24"/>
        </w:rPr>
      </w:pPr>
      <w:r w:rsidRPr="00D20AF2">
        <w:rPr>
          <w:rFonts w:ascii="Book Antiqua" w:hAnsi="Book Antiqua" w:cs="Arial"/>
          <w:sz w:val="24"/>
          <w:szCs w:val="24"/>
        </w:rPr>
        <w:t>Terdapat fakta bahwa:</w:t>
      </w:r>
    </w:p>
    <w:p w:rsidR="00346169" w:rsidRPr="00D20AF2" w:rsidRDefault="00346169" w:rsidP="0063725A">
      <w:pPr>
        <w:tabs>
          <w:tab w:val="right" w:leader="dot" w:pos="7938"/>
        </w:tabs>
        <w:spacing w:after="0" w:line="360" w:lineRule="auto"/>
        <w:ind w:left="709" w:hanging="709"/>
        <w:jc w:val="both"/>
        <w:rPr>
          <w:rFonts w:ascii="Book Antiqua" w:hAnsi="Book Antiqua" w:cs="Arial"/>
          <w:sz w:val="24"/>
          <w:szCs w:val="24"/>
        </w:rPr>
      </w:pPr>
      <w:r w:rsidRPr="00D20AF2">
        <w:rPr>
          <w:rFonts w:ascii="Book Antiqua" w:hAnsi="Book Antiqua" w:cs="Arial"/>
          <w:sz w:val="24"/>
          <w:szCs w:val="24"/>
        </w:rPr>
        <w:t>Mengambil sisa panen padi di sawah diperbolehkan</w:t>
      </w:r>
    </w:p>
    <w:p w:rsidR="00346169" w:rsidRPr="00D20AF2" w:rsidRDefault="00346169" w:rsidP="0063725A">
      <w:pPr>
        <w:tabs>
          <w:tab w:val="right" w:leader="dot" w:pos="7938"/>
        </w:tabs>
        <w:spacing w:after="0" w:line="360" w:lineRule="auto"/>
        <w:ind w:left="709" w:hanging="709"/>
        <w:jc w:val="both"/>
        <w:rPr>
          <w:rFonts w:ascii="Book Antiqua" w:hAnsi="Book Antiqua" w:cs="Arial"/>
          <w:sz w:val="24"/>
          <w:szCs w:val="24"/>
        </w:rPr>
      </w:pPr>
      <w:r w:rsidRPr="00D20AF2">
        <w:rPr>
          <w:rFonts w:ascii="Book Antiqua" w:hAnsi="Book Antiqua" w:cs="Arial"/>
          <w:sz w:val="24"/>
          <w:szCs w:val="24"/>
        </w:rPr>
        <w:t>Mengambil sisa panen jagung di sawah diperbolehkan</w:t>
      </w:r>
    </w:p>
    <w:p w:rsidR="00346169" w:rsidRPr="00D20AF2" w:rsidRDefault="00346169" w:rsidP="0063725A">
      <w:pPr>
        <w:tabs>
          <w:tab w:val="right" w:leader="dot" w:pos="7938"/>
        </w:tabs>
        <w:spacing w:after="0" w:line="360" w:lineRule="auto"/>
        <w:ind w:left="709" w:hanging="709"/>
        <w:jc w:val="both"/>
        <w:rPr>
          <w:rFonts w:ascii="Book Antiqua" w:hAnsi="Book Antiqua" w:cs="Arial"/>
          <w:sz w:val="24"/>
          <w:szCs w:val="24"/>
        </w:rPr>
      </w:pPr>
      <w:r w:rsidRPr="00D20AF2">
        <w:rPr>
          <w:rFonts w:ascii="Book Antiqua" w:hAnsi="Book Antiqua" w:cs="Arial"/>
          <w:sz w:val="24"/>
          <w:szCs w:val="24"/>
        </w:rPr>
        <w:t>Mengambil sisa panen kedelai di sawah diperbolehkan</w:t>
      </w:r>
    </w:p>
    <w:p w:rsidR="00346169" w:rsidRPr="00D20AF2" w:rsidRDefault="00346169" w:rsidP="001F6DA7">
      <w:pPr>
        <w:tabs>
          <w:tab w:val="right" w:leader="dot" w:pos="7938"/>
        </w:tabs>
        <w:spacing w:after="0" w:line="360" w:lineRule="auto"/>
        <w:ind w:left="709" w:hanging="709"/>
        <w:jc w:val="both"/>
        <w:rPr>
          <w:rFonts w:ascii="Book Antiqua" w:hAnsi="Book Antiqua" w:cs="Arial"/>
          <w:sz w:val="24"/>
          <w:szCs w:val="24"/>
        </w:rPr>
      </w:pPr>
      <w:r w:rsidRPr="00D20AF2">
        <w:rPr>
          <w:rFonts w:ascii="Book Antiqua" w:hAnsi="Book Antiqua" w:cs="Arial"/>
          <w:sz w:val="24"/>
          <w:szCs w:val="24"/>
        </w:rPr>
        <w:lastRenderedPageBreak/>
        <w:t>Maka kesimpulannya mengambil sisa panen apapun di sawah diperbolehkan.</w:t>
      </w:r>
    </w:p>
    <w:p w:rsidR="00346169" w:rsidRPr="00D20AF2" w:rsidRDefault="00346169" w:rsidP="0063725A">
      <w:pPr>
        <w:tabs>
          <w:tab w:val="right" w:leader="dot" w:pos="7938"/>
        </w:tabs>
        <w:spacing w:after="0" w:line="360" w:lineRule="auto"/>
        <w:jc w:val="both"/>
        <w:rPr>
          <w:rFonts w:ascii="Book Antiqua" w:hAnsi="Book Antiqua" w:cs="Arial"/>
          <w:sz w:val="24"/>
          <w:szCs w:val="24"/>
        </w:rPr>
      </w:pPr>
      <w:r w:rsidRPr="00D20AF2">
        <w:rPr>
          <w:rFonts w:ascii="Book Antiqua" w:hAnsi="Book Antiqua" w:cs="Arial"/>
          <w:sz w:val="24"/>
          <w:szCs w:val="24"/>
        </w:rPr>
        <w:t>Kesimpulan yang diambil tersebut merupakan bentuk dari pengetahuan yang benar menurut sarana penalaran indera secara induktif, karena telah sesuai dengan pernyataan-pernyataan yang memiliki kesamaan dan pengulangan yang digeneralisasi. Kesimpulan tersebut, akan tetapi belum tentu benar menurut cara penalaran intuisi hati nurani, karena tidak semua fakta yang terjadi memiliki dasar penilaian yang sama dalam perasaan hati nurani. Dalam hati mungkin terdapat niat untuk dengan sengaja mengambil sisa hasil panen demi untuk kepentingan sendiri dan mengenyampingkan perasaan batin yang sebenarnya telah melarangnya untuk melakukan itu. Oleh karena, itu diperlukan penggalian kebenaran secara intuisi terhadap kasus hukum tersebut yang lebih menekankan pada aspek perasaan batin dalam hati nurani, karena dapat dimungkinkan akan menemui disparitas antara apa yang terjadi secara nyata dengan apa yang sebenarnya tersembunyi dalam hati nurani.</w:t>
      </w:r>
    </w:p>
    <w:p w:rsidR="00346169" w:rsidRPr="00D20AF2" w:rsidRDefault="00346169" w:rsidP="0063725A">
      <w:pPr>
        <w:tabs>
          <w:tab w:val="right" w:leader="dot" w:pos="7938"/>
        </w:tabs>
        <w:spacing w:after="0" w:line="360" w:lineRule="auto"/>
        <w:jc w:val="both"/>
        <w:rPr>
          <w:rFonts w:ascii="Book Antiqua" w:hAnsi="Book Antiqua" w:cs="Arial"/>
          <w:sz w:val="24"/>
          <w:szCs w:val="24"/>
        </w:rPr>
      </w:pPr>
      <w:r w:rsidRPr="00D20AF2">
        <w:rPr>
          <w:rFonts w:ascii="Book Antiqua" w:hAnsi="Book Antiqua" w:cs="Arial"/>
          <w:sz w:val="24"/>
          <w:szCs w:val="24"/>
        </w:rPr>
        <w:tab/>
      </w:r>
      <w:r w:rsidR="0031085F">
        <w:rPr>
          <w:rFonts w:ascii="Book Antiqua" w:hAnsi="Book Antiqua" w:cs="Arial"/>
          <w:sz w:val="24"/>
          <w:szCs w:val="24"/>
        </w:rPr>
        <w:t xml:space="preserve">          </w:t>
      </w:r>
      <w:r w:rsidRPr="00D20AF2">
        <w:rPr>
          <w:rFonts w:ascii="Book Antiqua" w:hAnsi="Book Antiqua" w:cs="Arial"/>
          <w:sz w:val="24"/>
          <w:szCs w:val="24"/>
        </w:rPr>
        <w:t xml:space="preserve">Dalam mengukur validitas keabsahan kebenaran yang dihasilkan dari metode penalaran induktif digunakan metode korespondensi, yaitu suatu pernyataan dianggap benar jika pernyataan tersebut dapat berkorespondensi (berhubungan) dengan objek yang bersifat faktual dan nyata. Pernyataan ini tidak berlaku pada cara penalaran intuisi, karena seperti telah dijelaskan di atas bahwa tidak semua fakta empiris yang terjadi memiliki niat yang sama dalam perasaan batin hati nuraninya, meskipun secara konkrit hal itu dapat dipandang sama. Korespondensi menurut cara penalaran intuisi hati nurani hanya sebagai alat ukur yang bersifat awal untuk mengukur bentuk fisik atau sifat lahiriah belaka, belum menyentuh aspek untuk mengetahui dan memahami kebenaran yang tersembunyi dalam benak batin. Metode penalaran induktif yang berdasar pada indera dengan uji validitas korespondensi membatasi diri pada objek-objek yang dialami secara inderawi yang disebut sebagai fakta yang benar, karena itu benar-benar riil dapat ditangkap oleh indera manusia dan bukan sebagai suatu perasaan batin yang sebenarnya ada dalam hati nuraninya. Cara pandang tersebut seperti dikemukakan oleh Ernst Mach untuk mewakili pandangan kaum empirisme dengan menyatakan, bahwa dasar dari ilmu pengetahuan adalah apa yang didengar, dilihat dan dirasakan oleh indera, bukan </w:t>
      </w:r>
      <w:r w:rsidRPr="00D20AF2">
        <w:rPr>
          <w:rFonts w:ascii="Book Antiqua" w:hAnsi="Book Antiqua" w:cs="Arial"/>
          <w:sz w:val="24"/>
          <w:szCs w:val="24"/>
        </w:rPr>
        <w:lastRenderedPageBreak/>
        <w:t>apa yang dirasakan dalam hati nurani. Mach dalam hal ini sebenarnya ingin menegaskan, bahwa ilmu pengetahuan harus berorientasi pada data sebagai hasil obyek dan peristiwa penelitian empiris dan data tersebut pada dasarnya sama sekali tidak ada hubungannya dengan suatu apapun yang telah diyakini kebenarannya,</w:t>
      </w:r>
      <w:r w:rsidRPr="00D20AF2">
        <w:rPr>
          <w:rStyle w:val="FootnoteReference"/>
          <w:rFonts w:ascii="Book Antiqua" w:hAnsi="Book Antiqua" w:cs="Arial"/>
          <w:sz w:val="24"/>
          <w:szCs w:val="24"/>
        </w:rPr>
        <w:footnoteReference w:id="271"/>
      </w:r>
      <w:r w:rsidRPr="00D20AF2">
        <w:rPr>
          <w:rFonts w:ascii="Book Antiqua" w:hAnsi="Book Antiqua" w:cs="Arial"/>
          <w:sz w:val="24"/>
          <w:szCs w:val="24"/>
        </w:rPr>
        <w:t xml:space="preserve"> termasuk keyakinan dari dalam hati nurani</w:t>
      </w:r>
      <w:r w:rsidR="00D20AF2" w:rsidRPr="00D20AF2">
        <w:rPr>
          <w:rFonts w:ascii="Book Antiqua" w:hAnsi="Book Antiqua" w:cs="Arial"/>
          <w:sz w:val="24"/>
          <w:szCs w:val="24"/>
        </w:rPr>
        <w:t>.</w:t>
      </w:r>
    </w:p>
    <w:p w:rsidR="008258F9" w:rsidRPr="008258F9" w:rsidRDefault="008258F9" w:rsidP="0063725A">
      <w:pPr>
        <w:spacing w:after="0" w:line="36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31085F">
      <w:pPr>
        <w:spacing w:after="0" w:line="240" w:lineRule="auto"/>
        <w:rPr>
          <w:rFonts w:ascii="Book Antiqua" w:hAnsi="Book Antiqua" w:cs="Times New Roman"/>
          <w:b/>
          <w:sz w:val="32"/>
          <w:szCs w:val="32"/>
        </w:rPr>
      </w:pPr>
    </w:p>
    <w:p w:rsidR="0031085F" w:rsidRDefault="0031085F" w:rsidP="0031085F">
      <w:pPr>
        <w:spacing w:after="0" w:line="240" w:lineRule="auto"/>
        <w:rPr>
          <w:rFonts w:ascii="Book Antiqua" w:hAnsi="Book Antiqua" w:cs="Times New Roman"/>
          <w:b/>
          <w:sz w:val="32"/>
          <w:szCs w:val="32"/>
        </w:rPr>
      </w:pPr>
    </w:p>
    <w:p w:rsidR="001F6DA7" w:rsidRDefault="001F6DA7" w:rsidP="0031085F">
      <w:pPr>
        <w:spacing w:after="0" w:line="240" w:lineRule="auto"/>
        <w:rPr>
          <w:rFonts w:ascii="Book Antiqua" w:hAnsi="Book Antiqua" w:cs="Times New Roman"/>
          <w:b/>
          <w:sz w:val="32"/>
          <w:szCs w:val="32"/>
        </w:rPr>
      </w:pPr>
    </w:p>
    <w:p w:rsidR="00B16E59" w:rsidRDefault="00B16E59" w:rsidP="0031085F">
      <w:pPr>
        <w:spacing w:after="0" w:line="240" w:lineRule="auto"/>
        <w:rPr>
          <w:rFonts w:ascii="Book Antiqua" w:hAnsi="Book Antiqua" w:cs="Times New Roman"/>
          <w:b/>
          <w:sz w:val="32"/>
          <w:szCs w:val="32"/>
        </w:rPr>
      </w:pPr>
    </w:p>
    <w:p w:rsidR="00B16E59" w:rsidRDefault="00B16E59" w:rsidP="0031085F">
      <w:pPr>
        <w:spacing w:after="0" w:line="240" w:lineRule="auto"/>
        <w:rPr>
          <w:rFonts w:ascii="Book Antiqua" w:hAnsi="Book Antiqua" w:cs="Times New Roman"/>
          <w:b/>
          <w:sz w:val="32"/>
          <w:szCs w:val="32"/>
        </w:rPr>
      </w:pPr>
    </w:p>
    <w:p w:rsidR="00B16E59" w:rsidRDefault="00B16E59" w:rsidP="0031085F">
      <w:pPr>
        <w:spacing w:after="0" w:line="240" w:lineRule="auto"/>
        <w:rPr>
          <w:rFonts w:ascii="Book Antiqua" w:hAnsi="Book Antiqua" w:cs="Times New Roman"/>
          <w:b/>
          <w:sz w:val="32"/>
          <w:szCs w:val="32"/>
        </w:rPr>
      </w:pPr>
    </w:p>
    <w:p w:rsidR="00B16E59" w:rsidRDefault="00B16E59" w:rsidP="0031085F">
      <w:pPr>
        <w:spacing w:after="0" w:line="240" w:lineRule="auto"/>
        <w:rPr>
          <w:rFonts w:ascii="Book Antiqua" w:hAnsi="Book Antiqua" w:cs="Times New Roman"/>
          <w:b/>
          <w:sz w:val="32"/>
          <w:szCs w:val="32"/>
        </w:rPr>
      </w:pPr>
    </w:p>
    <w:p w:rsidR="00B16E59" w:rsidRPr="0030390C" w:rsidRDefault="00B16E59" w:rsidP="0031085F">
      <w:pPr>
        <w:spacing w:after="0" w:line="240" w:lineRule="auto"/>
        <w:rPr>
          <w:rFonts w:ascii="Book Antiqua" w:hAnsi="Book Antiqua" w:cs="Times New Roman"/>
          <w:b/>
          <w:sz w:val="32"/>
          <w:szCs w:val="32"/>
        </w:rPr>
      </w:pPr>
    </w:p>
    <w:p w:rsidR="008258F9" w:rsidRDefault="008258F9" w:rsidP="008258F9">
      <w:pPr>
        <w:spacing w:after="0" w:line="240" w:lineRule="auto"/>
        <w:jc w:val="center"/>
        <w:rPr>
          <w:rFonts w:ascii="Book Antiqua" w:hAnsi="Book Antiqua" w:cs="Times New Roman"/>
          <w:b/>
          <w:sz w:val="32"/>
          <w:szCs w:val="32"/>
        </w:rPr>
      </w:pPr>
      <w:r>
        <w:rPr>
          <w:rFonts w:ascii="Book Antiqua" w:hAnsi="Book Antiqua" w:cs="Times New Roman"/>
          <w:b/>
          <w:sz w:val="32"/>
          <w:szCs w:val="32"/>
        </w:rPr>
        <w:lastRenderedPageBreak/>
        <w:t>BAB 12 Dialektik Nalar Rasional Dan Intuisi Hukum</w:t>
      </w:r>
    </w:p>
    <w:p w:rsidR="004E78AE" w:rsidRDefault="004E78AE" w:rsidP="008258F9">
      <w:pPr>
        <w:spacing w:after="0" w:line="240" w:lineRule="auto"/>
        <w:jc w:val="center"/>
        <w:rPr>
          <w:rFonts w:ascii="Book Antiqua" w:hAnsi="Book Antiqua" w:cs="Times New Roman"/>
          <w:b/>
          <w:sz w:val="32"/>
          <w:szCs w:val="32"/>
        </w:rPr>
      </w:pP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Hati nurani dan akal dalam memahami hukum memiliki perbedaan-perbedaan yang menyebabkan pertentangan. Hati nurani berusaha memahami kebenaran hukum dengan cara intuisi bertentangan dengan akal yang memahami kebenaran hukum dengan cara logika rasional. Epistemologi ilmu hukum yang dikembangkan dengan sarana penalaran hati nurani sejak kelahirannya hingga pada masa perkembangan banyak diwarnai konflik dengan epistemologi ilmu hukum yang dikembangkan dengan sarana penalaran akal. Hal ini dapat dilihat dari pergulatan yang terjadi antara teori hukum kodrat yang juga menggunakan hati nurani dalam mengembangkan epistemologinya dengan teori positivisme hukum yang menggunakan sarana penalaran akal. Sikap saling mengklaim kebenaran antara epistemologi ilmu hukum yang dikembangkan dengan sarana penalaran akal dengan hati nurani dalam rangka untuk memperebutkan objek epistemologi ilmu hukum, metode penalaran yang digunakan dan hasil kemanfaatan yang diperoleh. Masing-masing epistemologi ilmu hukum tersebut memiliki cara pandang yang berbeda, sehingga dalam upaya untuk mempertahankan kebenaran yang dipahami dapat menimbulkan konflik.</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Objek epistemologi ilmu hukum yang dikembangkan dengan sarana penalaran akal sebagaimana dalam teori positivisme hukum adalah sistem norma hukum positif dalam peraturan perundang-undangan, sedangkan objek epistemologi ilmu hukum yang dikembangkan dengan sarana penalaran hati nurani sebagaimana dalam teori hukum kodrat adalah segala permasalahan hukum yang masuk dalam ranah perasaan intuisi hati nurani. Penganut aliran positivisme hukum hanya mengakui objek hukum yang berupa sistem norma hukum positif dalam peraturan perundang-undangan, karena dapat dipahami secara logika rasional dan menolak hal-hal yang bersifat irasional (hati nurani).</w:t>
      </w:r>
      <w:r w:rsidRPr="004E78AE">
        <w:rPr>
          <w:rFonts w:ascii="Book Antiqua" w:hAnsi="Book Antiqua"/>
          <w:sz w:val="24"/>
          <w:szCs w:val="24"/>
          <w:vertAlign w:val="superscript"/>
        </w:rPr>
        <w:footnoteReference w:id="272"/>
      </w:r>
      <w:r w:rsidRPr="004E78AE">
        <w:rPr>
          <w:rFonts w:ascii="Book Antiqua" w:eastAsia="Times New Roman" w:hAnsi="Book Antiqua" w:cs="Arial"/>
          <w:sz w:val="24"/>
          <w:szCs w:val="24"/>
        </w:rPr>
        <w:t xml:space="preserve"> Epistemologi ilmu hukum yang dikembangkan dengan sarana penalaran hati nurani hanya mengakui objek hukum dari segala permasalahan hukum yang dapat menyentuh perasaan batin dan </w:t>
      </w:r>
      <w:r w:rsidRPr="004E78AE">
        <w:rPr>
          <w:rFonts w:ascii="Book Antiqua" w:eastAsia="Times New Roman" w:hAnsi="Book Antiqua" w:cs="Arial"/>
          <w:sz w:val="24"/>
          <w:szCs w:val="24"/>
        </w:rPr>
        <w:lastRenderedPageBreak/>
        <w:t xml:space="preserve">menolak kebenaran hukum yang dihasilkan akal, karena akal diyakini bukan sebagai sarana penalaran yang mampu memperoleh pengetahuan yang benar. </w:t>
      </w:r>
    </w:p>
    <w:p w:rsidR="00346169" w:rsidRPr="004E78AE" w:rsidRDefault="0031085F" w:rsidP="0063725A">
      <w:pPr>
        <w:tabs>
          <w:tab w:val="right" w:leader="dot" w:pos="7938"/>
        </w:tabs>
        <w:spacing w:after="0" w:line="360" w:lineRule="auto"/>
        <w:jc w:val="both"/>
        <w:rPr>
          <w:rFonts w:ascii="Book Antiqua" w:eastAsia="Times New Roman" w:hAnsi="Book Antiqua" w:cs="Arial"/>
          <w:sz w:val="24"/>
          <w:szCs w:val="24"/>
        </w:rPr>
      </w:pPr>
      <w:r>
        <w:rPr>
          <w:rFonts w:ascii="Book Antiqua" w:eastAsia="Times New Roman" w:hAnsi="Book Antiqua" w:cs="Arial"/>
          <w:sz w:val="24"/>
          <w:szCs w:val="24"/>
        </w:rPr>
        <w:t xml:space="preserve">          </w:t>
      </w:r>
      <w:r w:rsidR="00346169" w:rsidRPr="004E78AE">
        <w:rPr>
          <w:rFonts w:ascii="Book Antiqua" w:eastAsia="Times New Roman" w:hAnsi="Book Antiqua" w:cs="Arial"/>
          <w:sz w:val="24"/>
          <w:szCs w:val="24"/>
        </w:rPr>
        <w:t>Konflik epistemologi ilmu pengetahuan, termasuk ilmu hukum yang dikembangkan melalui sarana penalaran akal dengan hati nurani dapat dipahami seperti apa yang dikemukakan August Comte dalam membagi tahap perkembangan pengatahuan manusia, khususnya pada tahap kedua dan ketiga. Tahap kedua disebut sebagai metafisik, dimana kebenaran didasarkan pada hal-hal yang bersifat abstrak yang jika dikaji lebih cenderung pada konsep pemahaman yang irasional. Tahap metafisik yang bersifat sangat abstrak (irasional) atau bahkan sudah keluar dari nalar ilmiah selanjutnya dinilai Comte tidak lagi mampu menjelaskan pengetahuan dengan baik pada zaman modern, sehingga perlu diganti dengan metode penalaran yang lebih ilmiah dengan metode penalaran yang dapat terukur secara jelas dan pasti. Oleh karena itu, kemudian muncul tahap ketiga disebut sebagai tahap positif, dimana perkembangan pengetahuan dilakukan dengan pengujian positif secara ilmiah terhadap semua yang digunakan dalam proses verifikasi yang objektif. Pada tahap inilah ilmu pengetahuan tidak hanya menjelaskan apa yang nyata, tapi juga bersifat pasti.</w:t>
      </w:r>
      <w:r w:rsidR="00346169" w:rsidRPr="004E78AE">
        <w:rPr>
          <w:rStyle w:val="FootnoteReference"/>
          <w:rFonts w:ascii="Book Antiqua" w:eastAsia="Times New Roman" w:hAnsi="Book Antiqua" w:cs="Arial"/>
          <w:sz w:val="24"/>
          <w:szCs w:val="24"/>
        </w:rPr>
        <w:footnoteReference w:id="273"/>
      </w:r>
      <w:r w:rsidR="00346169" w:rsidRPr="004E78AE">
        <w:rPr>
          <w:rFonts w:ascii="Book Antiqua" w:eastAsia="Times New Roman" w:hAnsi="Book Antiqua" w:cs="Arial"/>
          <w:sz w:val="24"/>
          <w:szCs w:val="24"/>
        </w:rPr>
        <w:t xml:space="preserve"> Pengukuhan metode ilmiah dalam pembuktian kebenaran ilmu pengetahuan kelihatannya menarik hukum untuk melakukan hal yang sama, yaitu dengan mempositifkan pemahaman tentang hukum dalam bentuk sistem norma positif yang berupa peraturan perundang-undangan. Dengan demikian, hukum telah memiliki sistem sendiri dalam menentukan kebenaran yang dimaksud, termasuk menentukan apa yang sesungguhnya menjadi objek hukum.</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 xml:space="preserve">Menurut Comte pengetahuan yang mendasarkan pada metafisik (irasional) telah tergantikan dengan pengetahuan baru yang bersifat objektif dan rasional, karena metafisik dianggap pengetahuan yang sudah absurd dan tidak mampu menjelaskan pengetahuan dengan benar.Hati nurani digunakan sebagai sarana penalaran dalam mengembangkan epistemologi pengetahuan pada masa itu disebut dengan tahap metafisik dengan memahami postulat kebenaran ilmiah didasarkan pada hal-hal yang terkait dengan perasaan batin yang terdapat dalam hati nurani, </w:t>
      </w:r>
      <w:r w:rsidRPr="004E78AE">
        <w:rPr>
          <w:rFonts w:ascii="Book Antiqua" w:eastAsia="Times New Roman" w:hAnsi="Book Antiqua" w:cs="Arial"/>
          <w:sz w:val="24"/>
          <w:szCs w:val="24"/>
        </w:rPr>
        <w:lastRenderedPageBreak/>
        <w:t>sehingga ilmu pengetahuan merupakan apa yang tersembunyi dalam benak hati nurani manusia yang sulit untuk dibuktikan secara ilmiah. Tergesernya perasaan batin yang berdasar dari hati nurani oleh akal dalam peradaban pengetahuan disebut Comte sebagai tahap positif. Pengetahuan d</w:t>
      </w:r>
      <w:r w:rsidRPr="004E78AE">
        <w:rPr>
          <w:rFonts w:ascii="Book Antiqua" w:hAnsi="Book Antiqua" w:cs="Arial"/>
          <w:sz w:val="24"/>
          <w:szCs w:val="24"/>
        </w:rPr>
        <w:t xml:space="preserve">alam tahap ini berkembang </w:t>
      </w:r>
      <w:r w:rsidRPr="004E78AE">
        <w:rPr>
          <w:rFonts w:ascii="Book Antiqua" w:eastAsia="Times New Roman" w:hAnsi="Book Antiqua" w:cs="Arial"/>
          <w:sz w:val="24"/>
          <w:szCs w:val="24"/>
        </w:rPr>
        <w:t>dengan metode pengujian positif secara ilmiah terhadap semua yang digunakan dalam proses verifikasi yang objektif. Manusia tidak lagi menjelaskan sebab-sebab di luar fakta-fakta yang teramati secara logis, karena pemikiran hanya memusatkan diri pada mekanisme yang bekerja menurut hukum logika secara umum. Pada tahap ini ilmu pengetahuan tidak hanya memandang apa yang nyata secara objektif, tapi juga lebih bersifat pasti.</w:t>
      </w:r>
      <w:r w:rsidRPr="004E78AE">
        <w:rPr>
          <w:rStyle w:val="FootnoteReference"/>
          <w:rFonts w:ascii="Book Antiqua" w:eastAsia="Times New Roman" w:hAnsi="Book Antiqua" w:cs="Arial"/>
          <w:sz w:val="24"/>
          <w:szCs w:val="24"/>
        </w:rPr>
        <w:footnoteReference w:id="274"/>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Cara pandang positivisme yang dipelopori August Comte menjadi gelombang yang menghanyutkan hampir disegala bidang ilmu pengetahuan, termasuk ilmu hukum. Seperti Positivisme hukum yang dikemukakan oleh Hart telah membuat skeptisisme dan reduksionisme perasaan batin dalam hukum dengan membatasi tugas ilmu hukum hanya pada ranah analisis logis, bukan pada upaya untuk mengungkap perasaan batin yang berhubungan erat dengan nilai-nilai kebenaran yang terdapat dalam hati nurani.</w:t>
      </w:r>
      <w:r w:rsidRPr="004E78AE">
        <w:rPr>
          <w:rStyle w:val="FootnoteReference"/>
          <w:rFonts w:ascii="Book Antiqua" w:eastAsia="Times New Roman" w:hAnsi="Book Antiqua" w:cs="Arial"/>
          <w:sz w:val="24"/>
          <w:szCs w:val="24"/>
        </w:rPr>
        <w:footnoteReference w:id="275"/>
      </w:r>
      <w:r w:rsidRPr="004E78AE">
        <w:rPr>
          <w:rFonts w:ascii="Book Antiqua" w:eastAsia="Times New Roman" w:hAnsi="Book Antiqua" w:cs="Arial"/>
          <w:sz w:val="24"/>
          <w:szCs w:val="24"/>
        </w:rPr>
        <w:t xml:space="preserve"> Positivisme dalam hukum tidak lepas dari pengaruh warisan pemikiran hukum yang lebih menekankan pada aspek idealitas. Pola kehidupan masyarakat yang terus mengalami perkembangan dan perubahan secara cepat pada zaman modern dapat membangkitkan semangat berpikir kritis terhadap segala permasalahan yang dihadapi daripada bergelut dalam perasaan batin. Menjadi sebuah alasan jika positivisme hukum muncul sebagai instrumen yang syarat dengan kepentingan manusia yang tersusun dalam logika rasional agar dapat diterima kebenarannya, meskipun hal itu bertentangan dengan perasaan batin dalam hati nurani manusia. Positivisme hukum, dalam mempermudah</w:t>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 xml:space="preserve">pemahamannya, maka ditentukan beberapa bentuk objek formal hukum yang telah ditetapkan kebenarannya melalui prosedur dan mekanisme tertentu yang dapat diukur secara logis dengan sifatnya yang koherensif. Positivisme hukum dengan </w:t>
      </w:r>
      <w:r w:rsidRPr="004E78AE">
        <w:rPr>
          <w:rFonts w:ascii="Book Antiqua" w:eastAsia="Times New Roman" w:hAnsi="Book Antiqua" w:cs="Arial"/>
          <w:sz w:val="24"/>
          <w:szCs w:val="24"/>
        </w:rPr>
        <w:lastRenderedPageBreak/>
        <w:t>cara pandang ini berusaha menolak objek hukum kodrat yang berupa perasaan batin hukum dalam hati nurani.</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hAnsi="Book Antiqua" w:cs="Arial"/>
          <w:sz w:val="24"/>
          <w:szCs w:val="24"/>
        </w:rPr>
        <w:t xml:space="preserve">          Penggunaan logika akal secara ketat seperti dipelopori oleh </w:t>
      </w:r>
      <w:r w:rsidRPr="004E78AE">
        <w:rPr>
          <w:rFonts w:ascii="Book Antiqua" w:eastAsia="Calibri" w:hAnsi="Book Antiqua" w:cs="Arial"/>
          <w:sz w:val="24"/>
          <w:szCs w:val="24"/>
        </w:rPr>
        <w:t xml:space="preserve">Rene Descartes mengandung </w:t>
      </w:r>
      <w:r w:rsidRPr="004E78AE">
        <w:rPr>
          <w:rFonts w:ascii="Book Antiqua" w:hAnsi="Book Antiqua" w:cs="Arial"/>
          <w:sz w:val="24"/>
          <w:szCs w:val="24"/>
        </w:rPr>
        <w:t>prinsip yang sama dalam paham rasionalisme. E</w:t>
      </w:r>
      <w:r w:rsidRPr="004E78AE">
        <w:rPr>
          <w:rFonts w:ascii="Book Antiqua" w:eastAsia="Calibri" w:hAnsi="Book Antiqua" w:cs="Arial"/>
          <w:sz w:val="24"/>
          <w:szCs w:val="24"/>
        </w:rPr>
        <w:t xml:space="preserve">pistemologi yang dikembangkan dengan sarana penalaran akal menurutnya mampu menghasilkan suatu kebenaran yang bersifat pasti dari pada yang lainnya. Istilah </w:t>
      </w:r>
      <w:r w:rsidRPr="004E78AE">
        <w:rPr>
          <w:rFonts w:ascii="Book Antiqua" w:eastAsia="Calibri" w:hAnsi="Book Antiqua" w:cs="Arial"/>
          <w:i/>
          <w:sz w:val="24"/>
          <w:szCs w:val="24"/>
        </w:rPr>
        <w:t>cogito ergo sum</w:t>
      </w:r>
      <w:r w:rsidRPr="004E78AE">
        <w:rPr>
          <w:rFonts w:ascii="Book Antiqua" w:eastAsia="Calibri" w:hAnsi="Book Antiqua" w:cs="Arial"/>
          <w:sz w:val="24"/>
          <w:szCs w:val="24"/>
        </w:rPr>
        <w:t>berhasil mengukuhkan dominasi peran akal dalam segala bidang kehidupan manusia, termasuk menyingkirkan peran hati nurani sebagai salah satu sarana penalaran dalam menggali dan memperoleh pengetahuan. Konsep tentang ide-ide menurut kaum rasionalisme merupakan hasil karya akal manusia yang mampu menunjukkan keberadaan dirinya sendiri tanpa pengaruh dari sarana penalaran yang lain. Dengan pernyataan yang mengagung-agungkan kemampuan akal tersebut, menunjukkan bahwa hanya akal yang menjadi dasar penyabab segalanya. Akal dengan dominasinya dalam positivisme telah meniadakan hati nurani yang lebih dekat dengan sifat-sifat batiniah. Menurut pemahaman kaum rasionalisme, hanya dengan memahami prinsip yang diperoleh melalui metode penalaran akal rasional manusia dapat mengerti kejadian-kejadian yang berlaku dalam alam sekitar, bukan dengan perasaan batin yang bersumbunyi di dalam hati nurani manusia yang bersifat irasional.</w:t>
      </w:r>
      <w:r w:rsidRPr="004E78AE">
        <w:rPr>
          <w:rFonts w:ascii="Book Antiqua" w:eastAsia="Calibri" w:hAnsi="Book Antiqua" w:cs="Arial"/>
          <w:sz w:val="24"/>
          <w:szCs w:val="24"/>
          <w:vertAlign w:val="superscript"/>
        </w:rPr>
        <w:footnoteReference w:id="276"/>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Akal dalam hukum berusaha memahami hukum sebagai sistem norma hukum positif dalam peraturan perundang-undangan yang sedang berlaku dan dibentuk oleh otoritas negara, bukan berdasarkan perasaan batin yang berasal dari hati nurani. Objek hukum dilihat sebagai suatu gejala objektif yang perlu dikaji secara ilmiah yang memiliki tujuan untuk membentuk sistem struktur rasional bukan hal-hal yang terkait dengan perasaan batin yang bersifat intersubjektif, sehingga paham ini melahirkan pemikiran bahwa pembentukan hukum bersifat profesional yang merupakan hasil kerja para ahli hukum bukan hasil kontemplasi perenungan kaum sufi dari pergulatan perasaan batin. Objek positivisme hukum dipahami sebagai sistem norma hukum positif dalam peraturan perundang-undang yang berdasarkan pada konsep bahwa hukum muncul terkait dengan organisasi negara, bukan </w:t>
      </w:r>
      <w:r w:rsidRPr="004E78AE">
        <w:rPr>
          <w:rFonts w:ascii="Book Antiqua" w:eastAsia="Times New Roman" w:hAnsi="Book Antiqua" w:cs="Arial"/>
          <w:sz w:val="24"/>
          <w:szCs w:val="24"/>
        </w:rPr>
        <w:lastRenderedPageBreak/>
        <w:t>peristiwa-peristiwa yang menyinggung perasaan batin yang timbul dari dalam hati nurani. Oleh karena itu, hukum yang benar merupakan hukum yang berlaku di suatu negara dalam waktu tertentu bukan hukum yang berada dalam perasaan batin hati nurani manusia. Hukum dalam sistem norma hukum positif memiliki pengaturan yang berbeda dengan intuisi hati nurani, yaitu menggunakan metode khusus dalam membangun kerangka berpikir hukum melalui metode sistem logika tertutup dan untuk menafsirkannya memerlukan penalaran rasional akal secara formal.</w:t>
      </w:r>
      <w:r w:rsidRPr="004E78AE">
        <w:rPr>
          <w:rFonts w:ascii="Book Antiqua" w:hAnsi="Book Antiqua"/>
          <w:sz w:val="24"/>
          <w:szCs w:val="24"/>
          <w:vertAlign w:val="superscript"/>
        </w:rPr>
        <w:footnoteReference w:id="277"/>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Akal dalam positivisme hukum hadir dengan mengusung pemahaman yang bersifat rasional objektif dalam melihat objek hukum, sehingga dapat dilakukan analisis secara ilmiah terhadapnya. Kelemahan hati nurani sebagai basis epistemologi hukum kodrat yang mengakibatkannya tersingkir karena kegagalannya untuk menampilkan objek hukum secara jelas, sehingga tidak dapat dilakukan analisis terhadapnya secara pasti. Sifat objek yang metayuridis dan irasional dari hukum kodrat yang menggunakan sarana penalaran hati nurani menurut positivisme hukum mengakibatkan hukum tidak memiliki nilai kepastian dengan jelas dan tegas. Setiap manusia jika dipersepsikan dalam epistemologi hukum kodrat, maka terhadapnya akan memiliki pandangan sendiri-sendiri tentang objek hukum yang berasal dari perasaan batin yang terdapat dalam hati nurani masing-masing. Pemahaman yang dihasilkan hati nurani dalam teori hukum kodrat ini dinilai bersifat ambigu dan gagal memberikan kepastian hukum yang objektif dilatar belakangi oleh pandangan terhadap objek yang salah. Keadaan zaman yang semakin maju dan lebih modern menuntut peran akal secara lebih untuk mampu melakukan analisis terhadap permasalahan yang timbul. Positivisme hukum hadir sebagai jawaban atas permasalahan hukum dengan pola pemikiran ilmiah yang bersifat sainstis berusaha untuk meneguhkan cara kerja yang lebih akurat dan terukur secara analisis rasional, bukan menggunakan perasaan batin seperti zaman kuno.</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Menurut John Austin hukum merupakan suatu aturan yang ditentukan untuk membimbing makhluk berakal oleh makhluk berakal lainnya yang telah memiliki </w:t>
      </w:r>
      <w:r w:rsidRPr="004E78AE">
        <w:rPr>
          <w:rFonts w:ascii="Book Antiqua" w:eastAsia="Times New Roman" w:hAnsi="Book Antiqua" w:cs="Arial"/>
          <w:sz w:val="24"/>
          <w:szCs w:val="24"/>
        </w:rPr>
        <w:lastRenderedPageBreak/>
        <w:t>kekuatan untuk mengalahkannya. Hukum secara rasional dibentuk oleh kelompok yang berkuasa dan diberlakukan terhadap kelompok yang dikuasainya. Rasional hukum dipisahkan dari perasaan keadilan, sebagai gantinya didasarkan pada ide-ide benar dan salah yang didasarkan pada kehendak pemegang kekuasaan yang tertinggi tanpa memperhatikan pertimbangan baik-buruk. Hukum positif berasal dari pemegang kedaulatan yang memiliki peran sangat menentukan untuk membentuk hukum.</w:t>
      </w:r>
      <w:r w:rsidRPr="004E78AE">
        <w:rPr>
          <w:rStyle w:val="FootnoteReference"/>
          <w:rFonts w:ascii="Book Antiqua" w:eastAsia="Times New Roman" w:hAnsi="Book Antiqua" w:cs="Arial"/>
          <w:sz w:val="24"/>
          <w:szCs w:val="24"/>
        </w:rPr>
        <w:footnoteReference w:id="278"/>
      </w:r>
      <w:r w:rsidRPr="004E78AE">
        <w:rPr>
          <w:rFonts w:ascii="Book Antiqua" w:eastAsia="Times New Roman" w:hAnsi="Book Antiqua" w:cs="Arial"/>
          <w:sz w:val="24"/>
          <w:szCs w:val="24"/>
        </w:rPr>
        <w:t xml:space="preserve"> Hukumdalam perasaan batin yang bersumber dari intuisi hati nurani hanya dipahami sebagai dorongan internal yang tidak dapat di identifikasi dengan pasti dan tidak ada kaitannya dengan hukum, sehinggadapat dikesampingkan. Perintah dari penguasa yang berdaulat menjadi objek hukum yang lebih kuat daripada kebenaran hukum yang terdapat dalam perasaan batin hati nurani. Perintah penguasa dalam pemahaman hukum positif merupakan inti dari sifat hukum menurut Austin,</w:t>
      </w:r>
      <w:r w:rsidRPr="004E78AE">
        <w:rPr>
          <w:rStyle w:val="FootnoteReference"/>
          <w:rFonts w:ascii="Book Antiqua" w:eastAsia="Times New Roman" w:hAnsi="Book Antiqua" w:cs="Arial"/>
          <w:sz w:val="24"/>
          <w:szCs w:val="24"/>
        </w:rPr>
        <w:footnoteReference w:id="279"/>
      </w:r>
      <w:r w:rsidRPr="004E78AE">
        <w:rPr>
          <w:rFonts w:ascii="Book Antiqua" w:eastAsia="Times New Roman" w:hAnsi="Book Antiqua" w:cs="Arial"/>
          <w:sz w:val="24"/>
          <w:szCs w:val="24"/>
        </w:rPr>
        <w:t xml:space="preserve"> bukan hal-hal yang bersifat irasional diluar jangkauan akal manusia. Dalam hal ini, untuk mengidentifikasi apakah sebuah norma itu hukum atau bukan dapat dilihat dari kepastian esensihakikat dari objek hukum yang bersandar pada cara kerja akal secara rasional. Austin dalam hal ini berusaha untuk menetapkan esensi dari suatu hukum seperti dengan mendefinisikan hukum sebagai suatu sistem logis yang di dalamnya mengandung unsur-unsur yang bersifat perintah, kewajiban dan sanksi dari kelompok penguasa.</w:t>
      </w:r>
      <w:r w:rsidRPr="004E78AE">
        <w:rPr>
          <w:rStyle w:val="FootnoteReference"/>
          <w:rFonts w:ascii="Book Antiqua" w:eastAsia="Times New Roman" w:hAnsi="Book Antiqua" w:cs="Arial"/>
          <w:sz w:val="24"/>
          <w:szCs w:val="24"/>
        </w:rPr>
        <w:footnoteReference w:id="280"/>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t xml:space="preserve">          Hukum menurut John Austin hanya dibentuk berdasarkan ide-ide rasional yang dianggap baik oleh penguasa tanpa memperhatikan aspek di luar hukum, sehingga hukum akan berorientasi pada kepentingan penguasa dengan pengenaan sanksi menjadi perangkat logis yang mampu melindungi kepentingan penguasa.</w:t>
      </w:r>
      <w:r w:rsidRPr="004E78AE">
        <w:rPr>
          <w:rStyle w:val="FootnoteReference"/>
          <w:rFonts w:ascii="Book Antiqua" w:eastAsia="Times New Roman" w:hAnsi="Book Antiqua" w:cs="Arial"/>
          <w:sz w:val="24"/>
          <w:szCs w:val="24"/>
        </w:rPr>
        <w:footnoteReference w:id="281"/>
      </w:r>
      <w:r w:rsidRPr="004E78AE">
        <w:rPr>
          <w:rFonts w:ascii="Book Antiqua" w:eastAsia="Times New Roman" w:hAnsi="Book Antiqua" w:cs="Arial"/>
          <w:sz w:val="24"/>
          <w:szCs w:val="24"/>
        </w:rPr>
        <w:t xml:space="preserve"> Tujuan paling akhir dan utama dari positivisme hukum adalah mencapai kepastian hukum, bukan rasa keadilan dengan memisahkan hukum dari hal-hal irasional yang tidak ada kaitannya dengan cara kerja positivisme hukum. John Austin telah mengganti rasa keadilan dengan perintah seorang penguasa, seperti dikemukakan </w:t>
      </w:r>
      <w:r w:rsidRPr="004E78AE">
        <w:rPr>
          <w:rFonts w:ascii="Book Antiqua" w:eastAsia="Times New Roman" w:hAnsi="Book Antiqua" w:cs="Arial"/>
          <w:sz w:val="24"/>
          <w:szCs w:val="24"/>
        </w:rPr>
        <w:lastRenderedPageBreak/>
        <w:t>bahwa hukum adalah setiap peraturan perundang-undangan positif yang ditentukan secara langsung atau tidak Iangsung oleh seorang pribadi atau sekelompok orang yang berwibawa bagi seseorang anggota atau anggota-anggota suatu masyarakat politik yang berdaulat, dimana yang membentuk hukum adalah yang tertinggi.</w:t>
      </w:r>
      <w:r w:rsidRPr="004E78AE">
        <w:rPr>
          <w:rStyle w:val="FootnoteReference"/>
          <w:rFonts w:ascii="Book Antiqua" w:eastAsia="Times New Roman" w:hAnsi="Book Antiqua" w:cs="Arial"/>
          <w:sz w:val="24"/>
          <w:szCs w:val="24"/>
        </w:rPr>
        <w:footnoteReference w:id="282"/>
      </w:r>
      <w:r w:rsidRPr="004E78AE">
        <w:rPr>
          <w:rFonts w:ascii="Book Antiqua" w:eastAsia="Times New Roman" w:hAnsi="Book Antiqua" w:cs="Arial"/>
          <w:sz w:val="24"/>
          <w:szCs w:val="24"/>
        </w:rPr>
        <w:t xml:space="preserve"> Prinsip seperti ini jelas ditolak oleh hukum kodrat yang memiliki sarana penalaran hati nurani dalam mengembangkan epistemologinya. Keyakinan yang berasal dari hati nurani dapat merasakan kebenaran dari benak pribadi, sehingga oleh karena itu tidak diperlukan adanya perintah sebagai bentuk dari hukum untuk mengatur manusia. Dalam diri manusia telah terdapat instrumen hati nurani yang senantiasa membisikkan hal-hal yang diyakini memiliki nilai kebenaran sejati yang belum terpengaruh oleh tendensi kepentingan tertentu. Kebenaran internal yang berasal dari intuisi hati nurani merupakan bentuk dari sesuatu yang tidak dapat dibelokkan untuk mencapai tujuan tertentu seperti dalam ide-ide logika rasional, oleh karena itu menurut penganutnya hati nurani lebih diyakini nilainya daripada akal.</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Kaum positivisme hukum memahami intuisi hati nurani sebagai bagian dari instrumen hukum dasar yang belum dapat diterima, karena masih perlu dijelaskan oleh hukum positif. Perasaan hukum yang terdapat dalam hati nurani manusia masih diyakini sebagai bentuk dari hukum yang bersifat dasar, sehingga perasaan hati nurani tidak dapat dikatakan sebagai hukum sebagaimana yang disyaratkan oleh penganut positivisme hukum. Hal itu terjadi oleh karena, jika hukum bergantung padaperasaan batin yang terdapat dalam hati nurani manusia, maka ketidakpastian hukum pasti akan terjadi. Dalam hal ini termasuk perasaan hukum dianggap bukan objek esensial hukum, sehingga tidak dapat diakui secara sah keberlakuannya.</w:t>
      </w:r>
      <w:r w:rsidRPr="004E78AE">
        <w:rPr>
          <w:rStyle w:val="FootnoteReference"/>
          <w:rFonts w:ascii="Book Antiqua" w:eastAsia="Times New Roman" w:hAnsi="Book Antiqua" w:cs="Arial"/>
          <w:sz w:val="24"/>
          <w:szCs w:val="24"/>
        </w:rPr>
        <w:footnoteReference w:id="283"/>
      </w:r>
      <w:r w:rsidRPr="004E78AE">
        <w:rPr>
          <w:rFonts w:ascii="Book Antiqua" w:eastAsia="Times New Roman" w:hAnsi="Book Antiqua" w:cs="Arial"/>
          <w:sz w:val="24"/>
          <w:szCs w:val="24"/>
        </w:rPr>
        <w:t>Pandangan tersebut berlawanan dengan pemahaman perasaan batin hukum dalam hati nurani sebagai hukum yang bersifat internal dari dalam diri pribadi manusia. Perasaan batin berdasarkan kehendak seseorang terhadap dirinya sendiri, karena setiap orang mampu menentukan apa yang sebenarnya baik menurut kata hatinya.</w:t>
      </w:r>
      <w:r w:rsidRPr="004E78AE">
        <w:rPr>
          <w:rStyle w:val="FootnoteReference"/>
          <w:rFonts w:ascii="Book Antiqua" w:eastAsia="Times New Roman" w:hAnsi="Book Antiqua" w:cs="Arial"/>
          <w:sz w:val="24"/>
          <w:szCs w:val="24"/>
        </w:rPr>
        <w:footnoteReference w:id="284"/>
      </w:r>
      <w:r w:rsidRPr="004E78AE">
        <w:rPr>
          <w:rFonts w:ascii="Book Antiqua" w:eastAsia="Times New Roman" w:hAnsi="Book Antiqua" w:cs="Arial"/>
          <w:sz w:val="24"/>
          <w:szCs w:val="24"/>
        </w:rPr>
        <w:t xml:space="preserve"> Hal ini seperti dikemukakan A. Reinach, bahwa perasaan </w:t>
      </w:r>
      <w:r w:rsidRPr="004E78AE">
        <w:rPr>
          <w:rFonts w:ascii="Book Antiqua" w:eastAsia="Times New Roman" w:hAnsi="Book Antiqua" w:cs="Arial"/>
          <w:sz w:val="24"/>
          <w:szCs w:val="24"/>
        </w:rPr>
        <w:lastRenderedPageBreak/>
        <w:t>batin berjalan di atas suara hati nurani, sedangkan hukum berjalan di atas sistem norma hukum positif. Perasaan batin dalam hukum dari seseorang tidak akan pernah hilang dan tidak dapat pindah kepada orang lain, sedangkan hak-hak yang bersifat hukum positif dapat hilang dan dapat pindah kepada orang lain sesuai dengan perjanjian yang berlaku. Perasaan yang berasal dari hati nurani mengatur kehidupan batiniah yang tidak berwujud dan bersifat irasional, sedangkan hukum hanya mengatur kehidupanlahir yang bersifat nyata dan rasional.</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Peran dominasi akal pada perkembangan zaman yang mampu menyingkirkan perasaan batin hati nurani dalam epistemologi positivisme hukum dan sekaligus dapat menunjukkan bahwa objek hukum yang sebenarnya adalah sistem norma hukum positif dalam peraturan perundang-undangan. Menurut pemahaman Hart,</w:t>
      </w:r>
      <w:r w:rsidRPr="004E78AE">
        <w:rPr>
          <w:rStyle w:val="FootnoteReference"/>
          <w:rFonts w:ascii="Book Antiqua" w:eastAsia="Times New Roman" w:hAnsi="Book Antiqua" w:cs="Arial"/>
          <w:sz w:val="24"/>
          <w:szCs w:val="24"/>
        </w:rPr>
        <w:footnoteReference w:id="285"/>
      </w:r>
      <w:r w:rsidRPr="004E78AE">
        <w:rPr>
          <w:rFonts w:ascii="Book Antiqua" w:eastAsia="Times New Roman" w:hAnsi="Book Antiqua" w:cs="Arial"/>
          <w:sz w:val="24"/>
          <w:szCs w:val="24"/>
        </w:rPr>
        <w:t xml:space="preserve"> hukum adalah seperangkat instrumen yang bekerja di wilayah kekuasaan manusia yang dibentuk oleh suatu otoritas yang berasal dari prinsip-prinsip tertentu yang mengandung nilai idealitas dari perspektif penguasa yang dianggap benar, bukan dari perasaan batin yang timbul dari dalam hati nurani. Penilaian terhadap hal-hal yang bersifat irasional terhadap hukum yang berdasar pada intuisihati nurani menurut positivisme hukum tidak dapat dirumuskan dengan jelas oleh sistem pemikiran formal yang bersifat rasional, karena dasar penilaian yang berasal dari perasaan batin hati nurani lebih bersifat intersubjektif.</w:t>
      </w:r>
      <w:r w:rsidRPr="004E78AE">
        <w:rPr>
          <w:rStyle w:val="FootnoteReference"/>
          <w:rFonts w:ascii="Book Antiqua" w:eastAsia="Times New Roman" w:hAnsi="Book Antiqua" w:cs="Arial"/>
          <w:sz w:val="24"/>
          <w:szCs w:val="24"/>
        </w:rPr>
        <w:footnoteReference w:id="286"/>
      </w:r>
      <w:r w:rsidRPr="004E78AE">
        <w:rPr>
          <w:rFonts w:ascii="Book Antiqua" w:eastAsia="Times New Roman" w:hAnsi="Book Antiqua" w:cs="Arial"/>
          <w:sz w:val="24"/>
          <w:szCs w:val="24"/>
        </w:rPr>
        <w:t xml:space="preserve"> Oleh karena sifat tersebut, maka hukum mengalami kesulitan melakukan analisis terhadap beberapa permasalahan yang diajukan kepadanya dan hal itu menjadi sebab dari ketidakberdayaan hukum yang dapat melemahkan fungsi dan peran hukum dalam mengatur kehidupan manusia.</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 xml:space="preserve">Adanya konflik epistemologi ilmu hukum yang dipicu pemahaman terhadap objek epistemologi ilmu hukum yang dikembangkan melalui sarana penalaran akal dalam positivisme hukum dengan hati nurani secara jelas dan tegas seperti dikemukakan oleh Hans Kelsen dalam teori hukum murni. Kelsen memahami hukum lebih besifat formal dan membatasi dari perbincangan yang bersifat filsafat, </w:t>
      </w:r>
      <w:r w:rsidRPr="004E78AE">
        <w:rPr>
          <w:rFonts w:ascii="Book Antiqua" w:eastAsia="Times New Roman" w:hAnsi="Book Antiqua" w:cs="Arial"/>
          <w:sz w:val="24"/>
          <w:szCs w:val="24"/>
        </w:rPr>
        <w:lastRenderedPageBreak/>
        <w:t>sehingga hukum harus lepas dari semua pertimbangan perasaan keadilan. Seperti dikemukakan Kelsen tentang “</w:t>
      </w:r>
      <w:r w:rsidRPr="004E78AE">
        <w:rPr>
          <w:rFonts w:ascii="Book Antiqua" w:eastAsia="Times New Roman" w:hAnsi="Book Antiqua" w:cs="Arial"/>
          <w:i/>
          <w:sz w:val="24"/>
          <w:szCs w:val="24"/>
        </w:rPr>
        <w:t>the pure theory of law”.</w:t>
      </w:r>
      <w:r w:rsidRPr="004E78AE">
        <w:rPr>
          <w:rStyle w:val="FootnoteReference"/>
          <w:rFonts w:ascii="Book Antiqua" w:eastAsia="Times New Roman" w:hAnsi="Book Antiqua" w:cs="Arial"/>
          <w:sz w:val="24"/>
          <w:szCs w:val="24"/>
        </w:rPr>
        <w:footnoteReference w:id="287"/>
      </w:r>
      <w:r w:rsidRPr="004E78AE">
        <w:rPr>
          <w:rFonts w:ascii="Book Antiqua" w:eastAsia="Times New Roman" w:hAnsi="Book Antiqua" w:cs="Arial"/>
          <w:sz w:val="24"/>
          <w:szCs w:val="24"/>
        </w:rPr>
        <w:t xml:space="preserve"> Hukum adalah ilmu pengetahuan yang bersifat normatif berisi tentang aturan-aturan yang tersusun secara rijid dan jelas,</w:t>
      </w:r>
      <w:r w:rsidRPr="004E78AE">
        <w:rPr>
          <w:rStyle w:val="FootnoteReference"/>
          <w:rFonts w:ascii="Book Antiqua" w:eastAsia="Times New Roman" w:hAnsi="Book Antiqua" w:cs="Arial"/>
          <w:sz w:val="24"/>
          <w:szCs w:val="24"/>
        </w:rPr>
        <w:footnoteReference w:id="288"/>
      </w:r>
      <w:r w:rsidRPr="004E78AE">
        <w:rPr>
          <w:rFonts w:ascii="Book Antiqua" w:eastAsia="Times New Roman" w:hAnsi="Book Antiqua" w:cs="Arial"/>
          <w:sz w:val="24"/>
          <w:szCs w:val="24"/>
        </w:rPr>
        <w:t xml:space="preserve"> bukan perasaan keadilan dalam benak batin manusia. Logika hukum menurut Kelsen tidak </w:t>
      </w:r>
      <w:r w:rsidRPr="004E78AE">
        <w:rPr>
          <w:rFonts w:ascii="Book Antiqua" w:eastAsia="Calibri" w:hAnsi="Book Antiqua" w:cs="Arial"/>
          <w:sz w:val="24"/>
          <w:szCs w:val="24"/>
        </w:rPr>
        <w:t xml:space="preserve">memiliki hubungan dengan hal-hal yang bersifat irasional, termasuk perasaan dalam hati nurani. Logika hukum dalam menjustifikasi suatu kebenaran tidak perlu mempertimbangkan perasaan yang lahir dari dalam hati nurani, karena itu bukan wilayah hukum. Hati nurani, meskipun dipahami sebagai pengetahuan tertinggi, akan tetapi dalam pemahaman hukum dapat dikesampingkan kedudukannya. Hal inilah yang menyebabkan hukum kehilangan ruh kehidupannya, sehingga hukum hanya dipandang sebagai sistem formal yang bersifat lahiriyah yang kering akan nilai-nilai hakikatnya. </w:t>
      </w:r>
    </w:p>
    <w:p w:rsidR="00346169" w:rsidRPr="004E78AE" w:rsidRDefault="00346169" w:rsidP="0063725A">
      <w:pPr>
        <w:tabs>
          <w:tab w:val="right" w:leader="dot" w:pos="7938"/>
        </w:tabs>
        <w:spacing w:after="0" w:line="360" w:lineRule="auto"/>
        <w:jc w:val="both"/>
        <w:rPr>
          <w:rFonts w:ascii="Book Antiqua" w:eastAsia="Times New Roman" w:hAnsi="Book Antiqua" w:cs="Arial"/>
          <w:color w:val="00B050"/>
          <w:sz w:val="24"/>
          <w:szCs w:val="24"/>
        </w:rPr>
      </w:pPr>
      <w:r w:rsidRPr="004E78AE">
        <w:rPr>
          <w:rFonts w:ascii="Book Antiqua" w:eastAsia="Times New Roman" w:hAnsi="Book Antiqua" w:cs="Arial"/>
          <w:sz w:val="24"/>
          <w:szCs w:val="24"/>
        </w:rPr>
        <w:t xml:space="preserve">          Metode untuk memahami epistemologi ilmu hukum yang dikembangkan dengan sarana penalaran akal tidak lepas dari prinsip-prinsip paham rasionalisme yang mampu menampung segala ide-ide tentang hukum sesuai dengan apa yang telah dipersepsikan benar sejak awal, apalagi didukung dengan sifat formal dari hukum lebih memperkuat alur logis yang tidak dapat dihindari. Terhadap kepentingan-kepentingan tertentu akan diterima kebenarannya secara rasional jika telah masuk dalam kebenaran formal hukum. Hal ini yang menjadi diskursus permasalahan hukum dan perasaan batin dalam hati nurani ketika dihadapkan pada penafsiran peraturan perundang-undangan. Permasalahan tersebut diperparah lagi dengan syarat formal hukum yang didukung adanya perintah, kewajiban dan sanksi dalam hukum positif, seperti dikemukakan John Austin. Dalam mengidentifikasi apakah sebuah norma itu hukum atau bukan menurut Austin dapat dilihat dari sifatnya yang pasti dengan adanya unsur-unsur perintah, kewajiban dan sanksi yang dapat diterapkan secara formal berdasarkan prosedur yang telah ditetapkan.</w:t>
      </w:r>
      <w:r w:rsidRPr="004E78AE">
        <w:rPr>
          <w:rStyle w:val="FootnoteReference"/>
          <w:rFonts w:ascii="Book Antiqua" w:eastAsia="Times New Roman" w:hAnsi="Book Antiqua" w:cs="Arial"/>
          <w:sz w:val="24"/>
          <w:szCs w:val="24"/>
        </w:rPr>
        <w:footnoteReference w:id="289"/>
      </w:r>
      <w:r w:rsidRPr="004E78AE">
        <w:rPr>
          <w:rFonts w:ascii="Book Antiqua" w:eastAsia="Times New Roman" w:hAnsi="Book Antiqua" w:cs="Arial"/>
          <w:sz w:val="24"/>
          <w:szCs w:val="24"/>
        </w:rPr>
        <w:t xml:space="preserve"> Prosedur seperti ini sering bertentangan dengan perasaan batin dalam hati nurani, karena dinilai hanyauntuk memenuhi syarat formal dan mengabaikan esensi utama dari pokok permasalahan yang diatur. Pensyaratan formal dalam positivisme </w:t>
      </w:r>
      <w:r w:rsidRPr="004E78AE">
        <w:rPr>
          <w:rFonts w:ascii="Book Antiqua" w:eastAsia="Times New Roman" w:hAnsi="Book Antiqua" w:cs="Arial"/>
          <w:sz w:val="24"/>
          <w:szCs w:val="24"/>
        </w:rPr>
        <w:lastRenderedPageBreak/>
        <w:t xml:space="preserve">hukum yang dikembangkan melalui sarana penalaran akal telah menghilangkan asas </w:t>
      </w:r>
      <w:r w:rsidRPr="004E78AE">
        <w:rPr>
          <w:rFonts w:ascii="Book Antiqua" w:eastAsia="Times New Roman" w:hAnsi="Book Antiqua" w:cs="Arial"/>
          <w:i/>
          <w:sz w:val="24"/>
          <w:szCs w:val="24"/>
        </w:rPr>
        <w:t>prima facie</w:t>
      </w:r>
      <w:r w:rsidRPr="004E78AE">
        <w:rPr>
          <w:rFonts w:ascii="Book Antiqua" w:eastAsia="Times New Roman" w:hAnsi="Book Antiqua" w:cs="Arial"/>
          <w:sz w:val="24"/>
          <w:szCs w:val="24"/>
        </w:rPr>
        <w:t xml:space="preserve"> dalam hati nurani. Penalaran intuisi hati nurani dalam hukum yang melahirkan perasaan batin dalam hukum kodrat sesuai dengan sifat hukumnya yang mengandung asas-asas kebenaran universal. Menurut William David Rose, setiap kewajiban pertama harus selalu dianggap sebagai </w:t>
      </w:r>
      <w:r w:rsidRPr="004E78AE">
        <w:rPr>
          <w:rFonts w:ascii="Book Antiqua" w:eastAsia="Times New Roman" w:hAnsi="Book Antiqua" w:cs="Arial"/>
          <w:i/>
          <w:sz w:val="24"/>
          <w:szCs w:val="24"/>
        </w:rPr>
        <w:t>prima facie</w:t>
      </w:r>
      <w:r w:rsidRPr="004E78AE">
        <w:rPr>
          <w:rFonts w:ascii="Book Antiqua" w:eastAsia="Times New Roman" w:hAnsi="Book Antiqua" w:cs="Arial"/>
          <w:sz w:val="24"/>
          <w:szCs w:val="24"/>
        </w:rPr>
        <w:t>, yaitu kewajiban yang pada tahap awal harus berlaku sebelum muncul kewajiban lain yang mampu mengalahkannya.</w:t>
      </w:r>
      <w:r w:rsidRPr="004E78AE">
        <w:rPr>
          <w:rStyle w:val="FootnoteReference"/>
          <w:rFonts w:ascii="Book Antiqua" w:eastAsia="Times New Roman" w:hAnsi="Book Antiqua" w:cs="Arial"/>
          <w:sz w:val="24"/>
          <w:szCs w:val="24"/>
        </w:rPr>
        <w:footnoteReference w:id="290"/>
      </w:r>
    </w:p>
    <w:p w:rsidR="00346169" w:rsidRPr="004E78AE" w:rsidRDefault="00346169" w:rsidP="0063725A">
      <w:pPr>
        <w:tabs>
          <w:tab w:val="right" w:leader="dot" w:pos="7938"/>
        </w:tabs>
        <w:spacing w:after="0" w:line="360" w:lineRule="auto"/>
        <w:jc w:val="both"/>
        <w:rPr>
          <w:rFonts w:ascii="Book Antiqua" w:eastAsia="Times New Roman" w:hAnsi="Book Antiqua" w:cs="Arial"/>
          <w:color w:val="00B050"/>
          <w:sz w:val="24"/>
          <w:szCs w:val="24"/>
        </w:rPr>
      </w:pPr>
      <w:r w:rsidRPr="004E78AE">
        <w:rPr>
          <w:rFonts w:ascii="Book Antiqua" w:eastAsia="Times New Roman" w:hAnsi="Book Antiqua" w:cs="Arial"/>
          <w:color w:val="00B050"/>
          <w:sz w:val="24"/>
          <w:szCs w:val="24"/>
        </w:rPr>
        <w:tab/>
      </w:r>
      <w:r w:rsidR="0031085F">
        <w:rPr>
          <w:rFonts w:ascii="Book Antiqua" w:eastAsia="Times New Roman" w:hAnsi="Book Antiqua" w:cs="Arial"/>
          <w:color w:val="00B050"/>
          <w:sz w:val="24"/>
          <w:szCs w:val="24"/>
        </w:rPr>
        <w:t xml:space="preserve">          </w:t>
      </w:r>
      <w:r w:rsidRPr="004E78AE">
        <w:rPr>
          <w:rFonts w:ascii="Book Antiqua" w:eastAsia="Times New Roman" w:hAnsi="Book Antiqua" w:cs="Arial"/>
          <w:sz w:val="24"/>
          <w:szCs w:val="24"/>
        </w:rPr>
        <w:t>Pendapat john Austin terkait unsur-unsur hukum positif yang hanya dinilai dari adanya perintah, kewajiban dan sanksi bertentangan dengan konsep tentang hati nurani seperti yang disampaikan oleh Richard G. Singer dan John Q. La Fond. Hati nurani dalam diri manusia secara umum dapat dipahami dari sebagian besar manusia yang mengharapkan manusia lain untuk melakukan sesuatu yang baik, termasuk memenuhi tugas-tugas mereka yang terkait kewajiban-kewajiban yang harus memiliki nilai kesesuaian dengan perasaan dasar manusia terkait dengan benar dan salah (</w:t>
      </w:r>
      <w:r w:rsidRPr="004E78AE">
        <w:rPr>
          <w:rFonts w:ascii="Book Antiqua" w:eastAsia="Times New Roman" w:hAnsi="Book Antiqua" w:cs="Arial"/>
          <w:i/>
          <w:sz w:val="24"/>
          <w:szCs w:val="24"/>
        </w:rPr>
        <w:t>sense of right and wrong</w:t>
      </w:r>
      <w:r w:rsidRPr="004E78AE">
        <w:rPr>
          <w:rFonts w:ascii="Book Antiqua" w:eastAsia="Times New Roman" w:hAnsi="Book Antiqua" w:cs="Arial"/>
          <w:sz w:val="24"/>
          <w:szCs w:val="24"/>
        </w:rPr>
        <w:t>) dimana seseorang harus mengikutinya dan bukan karena unsur perintah, kewajiban dan sanksi seperti apa yang telah disampaikan oleh Austin. Berhubungan dengan perasaan dasar manusia mengenai benar dan salah ini terdapat pemahaman yang berusaha untuk mengkualifikasikannya ke dalam suatu bentuk hati nurani.</w:t>
      </w:r>
      <w:r w:rsidRPr="004E78AE">
        <w:rPr>
          <w:rStyle w:val="FootnoteReference"/>
          <w:rFonts w:ascii="Book Antiqua" w:eastAsia="Times New Roman" w:hAnsi="Book Antiqua" w:cs="Arial"/>
          <w:sz w:val="24"/>
          <w:szCs w:val="24"/>
        </w:rPr>
        <w:footnoteReference w:id="291"/>
      </w:r>
      <w:r w:rsidRPr="004E78AE">
        <w:rPr>
          <w:rFonts w:ascii="Book Antiqua" w:eastAsia="Times New Roman" w:hAnsi="Book Antiqua" w:cs="Arial"/>
          <w:sz w:val="24"/>
          <w:szCs w:val="24"/>
        </w:rPr>
        <w:t xml:space="preserve"> Pemahaman demikian terhadap perasaan batin dalam hati nurani memang bukan tanpa alasan, karena hati nurani oleh manusia pada dasarnya sering digunakan sebagai tolok ukur yang bersifat internal dari dalam diri yang bersifat pribadi. Suatu perbuatanyang telah dilakukan seseorang bukan hanya akan mendapatkan satu persetujuan secara logis menurut kaidah hukum seperti yang telah di klaim oleh aliran positivisme hukum, akan tapi juga akan mendapat penilaian dari perasaan batin yang berasal dari dalam hati nurani manusia.</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color w:val="00B050"/>
          <w:sz w:val="24"/>
          <w:szCs w:val="24"/>
        </w:rPr>
        <w:tab/>
      </w:r>
      <w:r w:rsidR="0031085F">
        <w:rPr>
          <w:rFonts w:ascii="Book Antiqua" w:eastAsia="Times New Roman" w:hAnsi="Book Antiqua" w:cs="Arial"/>
          <w:color w:val="00B050"/>
          <w:sz w:val="24"/>
          <w:szCs w:val="24"/>
        </w:rPr>
        <w:t xml:space="preserve">          </w:t>
      </w:r>
      <w:r w:rsidRPr="004E78AE">
        <w:rPr>
          <w:rFonts w:ascii="Book Antiqua" w:eastAsia="Times New Roman" w:hAnsi="Book Antiqua" w:cs="Arial"/>
          <w:sz w:val="24"/>
          <w:szCs w:val="24"/>
        </w:rPr>
        <w:t xml:space="preserve">Kaidah hukum bertujuan untuk menciptakan keamanan dan ketertiban dalam kehidupan masyarakat, sedangkan perasaan batin hukum dalam hati nurani mempunyai tujuan untuk menyempurnakan kehidupan yang bersifat pribadi </w:t>
      </w:r>
      <w:r w:rsidRPr="004E78AE">
        <w:rPr>
          <w:rFonts w:ascii="Book Antiqua" w:eastAsia="Times New Roman" w:hAnsi="Book Antiqua" w:cs="Arial"/>
          <w:sz w:val="24"/>
          <w:szCs w:val="24"/>
        </w:rPr>
        <w:lastRenderedPageBreak/>
        <w:t>seseorang. Tercapainya perasaan batin hukum secara tidak langsung akan membawa pengaruh terhadap upaya pencapaian tujuan kaidah hukum, karena pribadi manusia yang baik akan cenderung mentaati hukum yang merupakan pedoman bagi setiap manusia dalam kehidupan masyarakat. Kaidah hukum mengatur perbuatan-perbuatan yang bersifat lahiriah manusia, karena aturan hukum memusatkan fokus pengaturannya kepada sikap dan perilaku nyata, bukan pada sikap batin manusia. Kaidah hukum menganut asas, bahwa tidak sesorang pun dapat dihukum untuk apa yang dipendam dalam hatinya dan sebaliknya terhadap perasaan mengatur sikap batin manusia. Kaidah hukum berasal dari luar (peraturan perundang-undangan) yang memaksakan kehendaknya kepada manusia, sehingga orang tunduk kepada hukum karena ada kekuasaan yang memaksa mereka untuk taat. Sedangkan perasaan batin berdasarkan kehendak internal seseorang terhadap dirinya sendiri, karena setiap orang mampu menentukan kebaikan menurut kata hatinya.</w:t>
      </w:r>
      <w:r w:rsidRPr="004E78AE">
        <w:rPr>
          <w:rStyle w:val="FootnoteReference"/>
          <w:rFonts w:ascii="Book Antiqua" w:eastAsia="Times New Roman" w:hAnsi="Book Antiqua" w:cs="Arial"/>
          <w:sz w:val="24"/>
          <w:szCs w:val="24"/>
        </w:rPr>
        <w:footnoteReference w:id="292"/>
      </w:r>
      <w:r w:rsidRPr="004E78AE">
        <w:rPr>
          <w:rFonts w:ascii="Book Antiqua" w:eastAsia="Times New Roman" w:hAnsi="Book Antiqua" w:cs="Arial"/>
          <w:sz w:val="24"/>
          <w:szCs w:val="24"/>
        </w:rPr>
        <w:t xml:space="preserve"> Hubunganhukum dengan hal-hal di luar hukum seperti ini tidak diterima oleh Hans Kelsen, karena hukum positif dengan sifatnya yang formal memiliki sistem logis dalam hukum yang bersifat murni dan steril dari sifat irasional. Hukum yang dihasilkan dari perasaan batin hati nurani dinilai tidak murni lagi, sehingga mengakibatkan ketidakpastian dalam hukum. Hal ini harus segera diakhiri dengan membentuk hukum yang tersusun dalam sistem peraturan perundang-undangan, sehingga lebih memiliki kepastian hukum.</w:t>
      </w:r>
      <w:r w:rsidRPr="004E78AE">
        <w:rPr>
          <w:rStyle w:val="FootnoteReference"/>
          <w:rFonts w:ascii="Book Antiqua" w:eastAsia="Times New Roman" w:hAnsi="Book Antiqua" w:cs="Arial"/>
          <w:sz w:val="24"/>
          <w:szCs w:val="24"/>
        </w:rPr>
        <w:footnoteReference w:id="293"/>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 xml:space="preserve">Rasa keadilan hukum yang bersifat universal dalam hukum telah direduksi Hans Kelsen menjadi dua pola dasar, yaitu bersifat rasional dan metafisik. Keadilan rasional berusaha menjawab pertanyaan tentang keadilan dengan cara mendefinisikannya kedalam suatu pola yang bersifat logis dan ilmiah dalam upaya untuk memecahkan persoalan keadilan pada ranah rasional berbasis ketat pada akal, seperti pola pemikiran yang dipelopori oleh Aristoteles. Sedangkan keadilan metafisik merupakan realisasi dari sesuatu yang diarahkan ke dunia lain yang berada dibalik jangkauan logika rasional akal manusia, seperti sifat irasional. </w:t>
      </w:r>
      <w:r w:rsidRPr="004E78AE">
        <w:rPr>
          <w:rFonts w:ascii="Book Antiqua" w:eastAsia="Times New Roman" w:hAnsi="Book Antiqua" w:cs="Arial"/>
          <w:sz w:val="24"/>
          <w:szCs w:val="24"/>
        </w:rPr>
        <w:lastRenderedPageBreak/>
        <w:t>Pemahaman terhadap rasa keadilan hukum yang bersifat umum dalam hati nurani tidak dapat didefinisikan secara jelas dan pasti, karena hal itu merupakan penalaran yang berada diluar jangkauan akal dan tidak termasuk dalam pengertian logika hukum secara rasional.</w:t>
      </w:r>
      <w:r w:rsidRPr="004E78AE">
        <w:rPr>
          <w:rStyle w:val="FootnoteReference"/>
          <w:rFonts w:ascii="Book Antiqua" w:eastAsia="Times New Roman" w:hAnsi="Book Antiqua" w:cs="Arial"/>
          <w:sz w:val="24"/>
          <w:szCs w:val="24"/>
        </w:rPr>
        <w:footnoteReference w:id="294"/>
      </w:r>
      <w:r w:rsidRPr="004E78AE">
        <w:rPr>
          <w:rFonts w:ascii="Book Antiqua" w:eastAsia="Times New Roman" w:hAnsi="Book Antiqua" w:cs="Arial"/>
          <w:sz w:val="24"/>
          <w:szCs w:val="24"/>
        </w:rPr>
        <w:t xml:space="preserve"> Rasional akal dalam pemahaman hukum Kelsen sangat dominan untuk menentukan kebenaran hukum. Hampir seluruh pembicaraan tentang hukum diarahkan untuk memenuhi syarat-syarat logis yang tersusun dalam aturan formal, karena suatu kaedah dapat bersifat wajib karena segi formalnya. Norma-norma yang lain belum dapat dikatakan menjadi hukum apabila belum ditetapkan secara formal,</w:t>
      </w:r>
      <w:r w:rsidRPr="004E78AE">
        <w:rPr>
          <w:rStyle w:val="FootnoteReference"/>
          <w:rFonts w:ascii="Book Antiqua" w:eastAsia="Times New Roman" w:hAnsi="Book Antiqua" w:cs="Arial"/>
          <w:i/>
          <w:sz w:val="24"/>
          <w:szCs w:val="24"/>
        </w:rPr>
        <w:footnoteReference w:id="295"/>
      </w:r>
      <w:r w:rsidRPr="004E78AE">
        <w:rPr>
          <w:rFonts w:ascii="Book Antiqua" w:eastAsia="Times New Roman" w:hAnsi="Book Antiqua" w:cs="Arial"/>
          <w:sz w:val="24"/>
          <w:szCs w:val="24"/>
        </w:rPr>
        <w:t xml:space="preserve"> termasuk dalam hal ini adalah perasaan batin. Dengan demikian harus dihindari dalam penafsiran hukum positif, karena merupakan nilai-nilai diluar logika akal yang tidak ada hubungannya dengan hukum.</w:t>
      </w:r>
    </w:p>
    <w:p w:rsidR="00346169" w:rsidRPr="004E78AE" w:rsidRDefault="00346169" w:rsidP="0063725A">
      <w:pPr>
        <w:tabs>
          <w:tab w:val="right" w:leader="dot" w:pos="7938"/>
        </w:tabs>
        <w:spacing w:after="0" w:line="360" w:lineRule="auto"/>
        <w:jc w:val="both"/>
        <w:rPr>
          <w:rFonts w:ascii="Book Antiqua"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Akal dalam e</w:t>
      </w:r>
      <w:r w:rsidRPr="004E78AE">
        <w:rPr>
          <w:rFonts w:ascii="Book Antiqua" w:hAnsi="Book Antiqua" w:cs="Arial"/>
          <w:sz w:val="24"/>
          <w:szCs w:val="24"/>
        </w:rPr>
        <w:t>pistemologi ilmu hukum seperti pada aliran rasionalisme dan teori positivisme hukum dinilai memiliki cara kerja yang lebih pasti daripada perasaan batin, karena diperoleh pengetahuan yang benar melalui metode penalaran deduktif bukan hanya kebenaran yang dihasilkan dari nalar intuisi hati nurani yang tidak memiliki metode khusus dan akurat untuk mengukurnya. Metode penalaran deduksi yang lebih dekat ke arah ilmiah dengan cara kerja inferensi yang menurunkan sebuah kesimpulan yang didapatkan melalui penggunaan logika pikira</w:t>
      </w:r>
      <w:r w:rsidR="0031085F">
        <w:rPr>
          <w:rFonts w:ascii="Book Antiqua" w:hAnsi="Book Antiqua" w:cs="Arial"/>
          <w:sz w:val="24"/>
          <w:szCs w:val="24"/>
        </w:rPr>
        <w:t xml:space="preserve"> </w:t>
      </w:r>
      <w:r w:rsidRPr="004E78AE">
        <w:rPr>
          <w:rFonts w:ascii="Book Antiqua" w:hAnsi="Book Antiqua" w:cs="Arial"/>
          <w:sz w:val="24"/>
          <w:szCs w:val="24"/>
        </w:rPr>
        <w:t>n dengan disertai premis-premis yang berfungsi sebagai bukti.</w:t>
      </w:r>
      <w:r w:rsidRPr="004E78AE">
        <w:rPr>
          <w:rStyle w:val="FootnoteReference"/>
          <w:rFonts w:ascii="Book Antiqua" w:hAnsi="Book Antiqua" w:cs="Arial"/>
          <w:sz w:val="24"/>
          <w:szCs w:val="24"/>
        </w:rPr>
        <w:footnoteReference w:id="296"/>
      </w:r>
      <w:r w:rsidRPr="004E78AE">
        <w:rPr>
          <w:rFonts w:ascii="Book Antiqua" w:hAnsi="Book Antiqua" w:cs="Arial"/>
          <w:sz w:val="24"/>
          <w:szCs w:val="24"/>
        </w:rPr>
        <w:t xml:space="preserve"> Metode deduktif dalam epistemologi ilmu hukum berbasis akal dapat dinilai mampu menyingkirkan semua perasaan hati nurani yang menghasilkan kebenaran dengan cara penalaran intuisi. Oleh karena itu, metode penalaran deduktif tidak mengakui kebenaran yang tidak jelas dalam bentuk perasaan batin yang tidak dapat diukur validitasnya secara ilmiah. Metode penalaran deduktif merupakan suatu teori yang menekankan pada struktur konseptual dan validitas formalitasnya, sehingga dinilai lebih jelas dan pasti. Meskipun di dalam epistemologi berbasis hati nurani juga dapat digunkaan metode penalaran deduktif atau secara inferensi, akan tetapi metode tersebut dipandang sebagai cara terendah untukmenggali dan memperoleh kebenaran epistemologi ilmu hukum berbasis hati nurani.</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hAnsi="Book Antiqua" w:cs="Arial"/>
          <w:sz w:val="24"/>
          <w:szCs w:val="24"/>
        </w:rPr>
        <w:lastRenderedPageBreak/>
        <w:tab/>
      </w:r>
      <w:r w:rsidR="0031085F">
        <w:rPr>
          <w:rFonts w:ascii="Book Antiqua" w:hAnsi="Book Antiqua" w:cs="Arial"/>
          <w:sz w:val="24"/>
          <w:szCs w:val="24"/>
        </w:rPr>
        <w:t xml:space="preserve">          </w:t>
      </w:r>
      <w:r w:rsidRPr="004E78AE">
        <w:rPr>
          <w:rFonts w:ascii="Book Antiqua" w:eastAsia="Times New Roman" w:hAnsi="Book Antiqua" w:cs="Arial"/>
          <w:sz w:val="24"/>
          <w:szCs w:val="24"/>
        </w:rPr>
        <w:t>Penalaran epistemologi ilmu hukum melalui sarana penalaran hati nurani seperti dalam hukum kodrat dilakukan dengan menggunakan metode intuisi. Penggunaan cara penalaran intuisi dalam hukum kodrat sesuai dengan keadaan jaman pada masa itu yang belum mengenal ilmu pengetahuan secara modern dengan pondasi prinsip-prinsip ilmiah yang lebih menekankan pada penggunaan akal untuk melakukan analisis, jika terjadi penggunaan akal dalam hal-hal tertentu pada dasarnya itu masih terdapat pengaruh kuat dari intuisi yang dianggap memiliki tingkat kebenaran lebih tinggi. Hal ini seperti dikatakan J.W Harris, bahwa pada jaman peradaban kuno manusia lebih cenderung menggunakan penalaran intuisi (</w:t>
      </w:r>
      <w:r w:rsidRPr="004E78AE">
        <w:rPr>
          <w:rFonts w:ascii="Book Antiqua" w:eastAsia="Times New Roman" w:hAnsi="Book Antiqua" w:cs="Arial"/>
          <w:i/>
          <w:sz w:val="24"/>
          <w:szCs w:val="24"/>
        </w:rPr>
        <w:t>ancient conception of judgeship</w:t>
      </w:r>
      <w:r w:rsidRPr="004E78AE">
        <w:rPr>
          <w:rFonts w:ascii="Book Antiqua" w:eastAsia="Times New Roman" w:hAnsi="Book Antiqua" w:cs="Arial"/>
          <w:sz w:val="24"/>
          <w:szCs w:val="24"/>
        </w:rPr>
        <w:t>) daripada penalaran akal secara rasional seperti jaman modern.</w:t>
      </w:r>
      <w:r w:rsidRPr="004E78AE">
        <w:rPr>
          <w:rStyle w:val="FootnoteReference"/>
          <w:rFonts w:ascii="Book Antiqua" w:eastAsia="Times New Roman" w:hAnsi="Book Antiqua" w:cs="Arial"/>
          <w:sz w:val="24"/>
          <w:szCs w:val="24"/>
        </w:rPr>
        <w:footnoteReference w:id="297"/>
      </w:r>
      <w:r w:rsidRPr="004E78AE">
        <w:rPr>
          <w:rFonts w:ascii="Book Antiqua" w:eastAsia="Times New Roman" w:hAnsi="Book Antiqua" w:cs="Arial"/>
          <w:sz w:val="24"/>
          <w:szCs w:val="24"/>
        </w:rPr>
        <w:t xml:space="preserve"> Sebagai pemahaman dan pengenalan langsung terhadap hukum, inferensi akal diletakkan pada kedudukan yang lebih rendah terkait dengan hukum hasil buatan manusia. Hati nurani dalam hukum merupakan dalam tingkatan hukum diatas pemahaman yang tidak dapat terjangkau oleh akal manusia. Penalaran intuisi hati nurani yang menghasilkan perasaan hukum dalam hukum kodrat sesuai dengan sifat hukumnya yang mengandung asas-asas kebenaran universal, karena manusia pada dasarnya memiliki kesadaran diri yang terdapat dalam intuisi hati nurani terkait dengan hal-hal yang bersifat umum, seperti kewajiban umum untuk berbuat baik kepada orang lain.</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 xml:space="preserve">          Pandangan positivisme bahwa yang mengatakan hukum adalah murni tidaklah benar, sanggahan tersebut muncul dari pandangan hukum kodrat. Menurut hukum kodrat, hukum diperuntukkan bagi manusia yang memiliki sifat dasar yang secara alamiah terefleksikan oleh perasaan hati nurani manusia dalam keadaan apapun dan jika terdapat pernyataan tentang hukum yang murni, maka hal itu hanya cara pandang yang sempit terhadap hukum dan penuh dengan kepentingan yang telah dikukuhkan di dalamnya. Suatu penalaran hukum merupakan sebuah proses panjang yang harus dilakukan dalam upaya untuk mencapai satu putusan pengadilan yang baik. Akan tetapi proses penalaran hukum dalam bentuk struktur yang dilakukan oleh aliran positivisme hukum yang cenderung menggunakan sarana penalaran akal dengan cara kerja yang sangat rasional seolah-olah </w:t>
      </w:r>
      <w:r w:rsidRPr="004E78AE">
        <w:rPr>
          <w:rFonts w:ascii="Book Antiqua" w:eastAsia="Times New Roman" w:hAnsi="Book Antiqua" w:cs="Arial"/>
          <w:sz w:val="24"/>
          <w:szCs w:val="24"/>
        </w:rPr>
        <w:lastRenderedPageBreak/>
        <w:t>didasarkan pada logika mekanis, padahal dalam kenyataannya penalaran hukum tidak mungkin dilakukan tanpa merujuk pada suatupermasalahan yang mendasari hukum tersebut. Penalaran hukum tidak dipahami datar seperti rumus matematika, bebas dari hal-hal yang terkait dengan perasaan dan bekerja seperti tombol mesin, melainkan dipengaruhi faktor keyakinan yang bersifat manusiawi dari seorang hakim dalam membuat sebuah putusan.</w:t>
      </w:r>
      <w:r w:rsidRPr="004E78AE">
        <w:rPr>
          <w:rStyle w:val="FootnoteReference"/>
          <w:rFonts w:ascii="Book Antiqua" w:eastAsia="Times New Roman" w:hAnsi="Book Antiqua" w:cs="Arial"/>
          <w:sz w:val="24"/>
          <w:szCs w:val="24"/>
        </w:rPr>
        <w:footnoteReference w:id="298"/>
      </w:r>
    </w:p>
    <w:p w:rsidR="00346169" w:rsidRPr="004E78AE" w:rsidRDefault="00346169" w:rsidP="0063725A">
      <w:pPr>
        <w:tabs>
          <w:tab w:val="right" w:leader="dot" w:pos="7938"/>
        </w:tabs>
        <w:spacing w:after="0" w:line="360" w:lineRule="auto"/>
        <w:jc w:val="both"/>
        <w:rPr>
          <w:rFonts w:ascii="Book Antiqua" w:hAnsi="Book Antiqua" w:cs="Arial"/>
          <w:sz w:val="24"/>
          <w:szCs w:val="24"/>
        </w:rPr>
      </w:pPr>
      <w:r w:rsidRPr="004E78AE">
        <w:rPr>
          <w:rFonts w:ascii="Book Antiqua" w:hAnsi="Book Antiqua" w:cs="Arial"/>
          <w:sz w:val="24"/>
          <w:szCs w:val="24"/>
        </w:rPr>
        <w:t xml:space="preserve">          Penalaran intuisi hati nurani melakukan penolakan terhadap akal dikarenakan penggunaan metodeyang bersifat deduktif dianggap tidak menghasilkan kebenaran baru, bahkan cenderung dipaksakan untuk mengikuti kebenaran aksiomatik yang telah ditentukansebelumnya. Dalam epistemologi ilmu hukum yang menggunakan sarana penalaran akal seperti dipahami dalam aliran positivisme hukum hanya memperoleh pengetahuan yang benar melalui metode deduktif. Menurut Melvin Marx, metode deduktif adalah bentuk inferensi yang menurunkan sebuah kesimpulan yang didapatkan melalui penggunaan logika pikiran dengan disertai premis-premis yang berfungsi sebagai instrumen pembuktian. Metode tersebut menekankan pada struktur konseptual dan validitas substansial, selain itu dalam metode deduktifjuga berfokus pada pembangunan konsep sebelum pengujian empiris dilakukan. Metode deduktif sebagai cara berpikir dimana dari pernyataan yang bersifat umum ditarik ke dalam suatu kesimpulan yang bersifat khusus. Kesimpulan yang diambil secara deduktif ini dilakukan dengan menggunakan pola pikir silogisme yang disusun dari dua pernyataan premis mayor dan minor, hingga dapat mengasilkan satu kesimpulan. Kesimpulan yang merupakan pengetahuan yang dipahami benar diperoleh dari penarikan premis mayor ke premis minor.</w:t>
      </w:r>
      <w:r w:rsidRPr="004E78AE">
        <w:rPr>
          <w:rStyle w:val="FootnoteReference"/>
          <w:rFonts w:ascii="Book Antiqua" w:hAnsi="Book Antiqua" w:cs="Arial"/>
          <w:sz w:val="24"/>
          <w:szCs w:val="24"/>
        </w:rPr>
        <w:footnoteReference w:id="299"/>
      </w:r>
      <w:r w:rsidRPr="004E78AE">
        <w:rPr>
          <w:rFonts w:ascii="Book Antiqua" w:hAnsi="Book Antiqua" w:cs="Arial"/>
          <w:sz w:val="24"/>
          <w:szCs w:val="24"/>
        </w:rPr>
        <w:t xml:space="preserve"> Kesimpulan yang dihasilkan metode deduktifberupa pengetahuan baru pada dasarnya bukan merupakan pengetahuan baru dalam arti yang sebenarnya, melainkan sekedar konsekuensi logis dari dua pengetahuan yang sudah diketahui kebenarannya. Seperti dikemukakan oleh Ludwing von Wiittgenstein, bahwa tidak </w:t>
      </w:r>
      <w:r w:rsidRPr="004E78AE">
        <w:rPr>
          <w:rFonts w:ascii="Book Antiqua" w:hAnsi="Book Antiqua" w:cs="Arial"/>
          <w:sz w:val="24"/>
          <w:szCs w:val="24"/>
        </w:rPr>
        <w:lastRenderedPageBreak/>
        <w:t xml:space="preserve">pernah ada pengetahuan baru dalam metode deduktif, karena pengetahuan yang diperoleh merupakan kebenaran yang bersifat </w:t>
      </w:r>
      <w:r w:rsidRPr="004E78AE">
        <w:rPr>
          <w:rFonts w:ascii="Book Antiqua" w:hAnsi="Book Antiqua" w:cs="Arial"/>
          <w:i/>
          <w:sz w:val="24"/>
          <w:szCs w:val="24"/>
        </w:rPr>
        <w:t>tautologis</w:t>
      </w:r>
      <w:r w:rsidRPr="004E78AE">
        <w:rPr>
          <w:rFonts w:ascii="Book Antiqua" w:hAnsi="Book Antiqua" w:cs="Arial"/>
          <w:sz w:val="24"/>
          <w:szCs w:val="24"/>
        </w:rPr>
        <w:t>.</w:t>
      </w:r>
      <w:r w:rsidRPr="004E78AE">
        <w:rPr>
          <w:rStyle w:val="FootnoteReference"/>
          <w:rFonts w:ascii="Book Antiqua" w:hAnsi="Book Antiqua" w:cs="Arial"/>
          <w:sz w:val="24"/>
          <w:szCs w:val="24"/>
        </w:rPr>
        <w:footnoteReference w:id="300"/>
      </w:r>
    </w:p>
    <w:p w:rsidR="00346169" w:rsidRPr="004E78AE" w:rsidRDefault="00346169" w:rsidP="0063725A">
      <w:pPr>
        <w:spacing w:after="0" w:line="360" w:lineRule="auto"/>
        <w:jc w:val="both"/>
        <w:rPr>
          <w:rFonts w:ascii="Book Antiqua" w:eastAsia="Times New Roman" w:hAnsi="Book Antiqua" w:cs="Arial"/>
          <w:sz w:val="24"/>
          <w:szCs w:val="24"/>
        </w:rPr>
      </w:pPr>
      <w:r w:rsidRPr="004E78AE">
        <w:rPr>
          <w:rFonts w:ascii="Book Antiqua" w:hAnsi="Book Antiqua" w:cs="Arial"/>
          <w:sz w:val="24"/>
          <w:szCs w:val="24"/>
        </w:rPr>
        <w:t>Contoh permasalahan hukum yang dapat menjadi konflik antara epistemologi ilmu hukum yang dikembangkan dengan sarana penalaran akal dengan hati nurani;</w:t>
      </w:r>
    </w:p>
    <w:p w:rsidR="00346169" w:rsidRPr="004E78AE" w:rsidRDefault="00346169" w:rsidP="0063725A">
      <w:pPr>
        <w:tabs>
          <w:tab w:val="right" w:pos="8504"/>
        </w:tabs>
        <w:spacing w:after="0" w:line="360" w:lineRule="auto"/>
        <w:jc w:val="both"/>
        <w:rPr>
          <w:rFonts w:ascii="Book Antiqua" w:hAnsi="Book Antiqua" w:cs="Arial"/>
          <w:sz w:val="24"/>
          <w:szCs w:val="24"/>
        </w:rPr>
      </w:pPr>
      <w:r w:rsidRPr="004E78AE">
        <w:rPr>
          <w:rFonts w:ascii="Book Antiqua" w:hAnsi="Book Antiqua" w:cs="Arial"/>
          <w:sz w:val="24"/>
          <w:szCs w:val="24"/>
        </w:rPr>
        <w:t xml:space="preserve">Semua orang yang mencuri dihukum penjara </w:t>
      </w:r>
      <w:r w:rsidRPr="004E78AE">
        <w:rPr>
          <w:rFonts w:ascii="Book Antiqua" w:hAnsi="Book Antiqua" w:cs="Arial"/>
          <w:sz w:val="24"/>
          <w:szCs w:val="24"/>
        </w:rPr>
        <w:tab/>
      </w:r>
    </w:p>
    <w:p w:rsidR="00346169" w:rsidRPr="004E78AE" w:rsidRDefault="00346169" w:rsidP="0063725A">
      <w:pPr>
        <w:tabs>
          <w:tab w:val="left" w:pos="5055"/>
        </w:tabs>
        <w:spacing w:after="0" w:line="360" w:lineRule="auto"/>
        <w:jc w:val="both"/>
        <w:rPr>
          <w:rFonts w:ascii="Book Antiqua" w:hAnsi="Book Antiqua" w:cs="Arial"/>
          <w:sz w:val="24"/>
          <w:szCs w:val="24"/>
        </w:rPr>
      </w:pPr>
      <w:r w:rsidRPr="004E78AE">
        <w:rPr>
          <w:rFonts w:ascii="Book Antiqua" w:hAnsi="Book Antiqua" w:cs="Arial"/>
          <w:sz w:val="24"/>
          <w:szCs w:val="24"/>
        </w:rPr>
        <w:t xml:space="preserve">Si “A” telah mencuri </w:t>
      </w:r>
      <w:r w:rsidRPr="004E78AE">
        <w:rPr>
          <w:rFonts w:ascii="Book Antiqua" w:hAnsi="Book Antiqua" w:cs="Arial"/>
          <w:sz w:val="24"/>
          <w:szCs w:val="24"/>
        </w:rPr>
        <w:tab/>
      </w:r>
    </w:p>
    <w:p w:rsidR="00346169" w:rsidRPr="004E78AE" w:rsidRDefault="00346169" w:rsidP="0063725A">
      <w:pPr>
        <w:tabs>
          <w:tab w:val="right" w:leader="dot" w:pos="7938"/>
        </w:tabs>
        <w:spacing w:after="0" w:line="360" w:lineRule="auto"/>
        <w:jc w:val="both"/>
        <w:rPr>
          <w:rFonts w:ascii="Book Antiqua" w:hAnsi="Book Antiqua" w:cs="Arial"/>
          <w:sz w:val="24"/>
          <w:szCs w:val="24"/>
        </w:rPr>
      </w:pPr>
      <w:r w:rsidRPr="004E78AE">
        <w:rPr>
          <w:rFonts w:ascii="Book Antiqua" w:hAnsi="Book Antiqua" w:cs="Arial"/>
          <w:sz w:val="24"/>
          <w:szCs w:val="24"/>
        </w:rPr>
        <w:t>Si “A” dihukum penjara</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hAnsi="Book Antiqua" w:cs="Arial"/>
          <w:sz w:val="24"/>
          <w:szCs w:val="24"/>
        </w:rPr>
        <w:t>Kesimpulan yang diambil menurut pemahaman positivisme hukum yang dikembangkan dengan penalaran logika hukum dalam peraturan perundang-undangan dapat dikatakan telah benar, karena mengacu pada metodededuktif.Akan tetapi, jika dipahami dengan cara penalaran intuisi hati nurani, kesimpulan yang diambil dengan memberikan hukuman penjara terhadap pencuri tersebut belum tentu dapat dibenarkan. Bagaimana jika Si “A” melakukan tindakan mencuri karena sebab lapar? Hati nurani dalam keadaan seperti ini akan memiliki kecenderungan untuk melakukan penilaian lain dan berbeda dengan cara kerja penalaran akal secara deduktif seperti dalam positivisme hukum. Kebenaran yang muncul dari dalam benak batin hati nurani sebagaimana dikemukakan oleh Hendry Bergson memiliki kemampuan untuk dapat memahami suatu permasalahan secara utuh, tetap dan menyeluruh. Bahkan menurut Nietzsche intuisi sebagai suatu inteligensi dari kemampuan manusia yang paling tinggi.</w:t>
      </w:r>
      <w:r w:rsidRPr="004E78AE">
        <w:rPr>
          <w:rStyle w:val="FootnoteReference"/>
          <w:rFonts w:ascii="Book Antiqua" w:hAnsi="Book Antiqua" w:cs="Arial"/>
          <w:sz w:val="24"/>
          <w:szCs w:val="24"/>
        </w:rPr>
        <w:footnoteReference w:id="301"/>
      </w:r>
      <w:r w:rsidRPr="004E78AE">
        <w:rPr>
          <w:rFonts w:ascii="Book Antiqua" w:hAnsi="Book Antiqua" w:cs="Arial"/>
          <w:sz w:val="24"/>
          <w:szCs w:val="24"/>
        </w:rPr>
        <w:t xml:space="preserve"> Oleh karena itu, alasan lain yang dapat mempengaruhi kasus hukum tersebut terjadi memerlukan penilaian yang bersifat intuisi dari dalam hati nurani. Alasan mencuri karena lapar dapat menyentuh perasaan batin dalam hati nurani untuk tidak mengatakan itu sebagai suatu kesalahan yang harus dihukum, akan tetapi justru dapat menyentuh perasaan batinyang memberikan pengampunan atau belas kasihan dari tindakan tersebut. Penalaran intuisi hati nurani menurut kaum sufi diyakini memiliki tingkat kebenaran yang lebih tinggi dari pada akal secara rasional, akan tetapi kebenaran dari hati nurani tersebut sulit </w:t>
      </w:r>
      <w:r w:rsidRPr="004E78AE">
        <w:rPr>
          <w:rFonts w:ascii="Book Antiqua" w:eastAsia="Times New Roman" w:hAnsi="Book Antiqua" w:cs="Arial"/>
          <w:sz w:val="24"/>
          <w:szCs w:val="24"/>
        </w:rPr>
        <w:t xml:space="preserve">diungkapkan oleh manusia karena bersifat intersubjektif. Hal tersebut yang membuat tidak dapat diterimanya cara penalaran </w:t>
      </w:r>
      <w:r w:rsidRPr="004E78AE">
        <w:rPr>
          <w:rFonts w:ascii="Book Antiqua" w:eastAsia="Times New Roman" w:hAnsi="Book Antiqua" w:cs="Arial"/>
          <w:sz w:val="24"/>
          <w:szCs w:val="24"/>
        </w:rPr>
        <w:lastRenderedPageBreak/>
        <w:t>intuisi hati nurani oleh penganut paham positivisme hukum, karena dinilai tidak sesuai dengan prinsip-prinsip cara kerja logika hukum secara rasional yang telah pasti.</w:t>
      </w:r>
    </w:p>
    <w:p w:rsidR="00346169" w:rsidRPr="004E78AE" w:rsidRDefault="00346169" w:rsidP="0063725A">
      <w:pPr>
        <w:tabs>
          <w:tab w:val="right" w:leader="dot" w:pos="7938"/>
        </w:tabs>
        <w:spacing w:after="0" w:line="360" w:lineRule="auto"/>
        <w:jc w:val="both"/>
        <w:rPr>
          <w:rFonts w:ascii="Book Antiqua" w:eastAsia="Times New Roman" w:hAnsi="Book Antiqua" w:cs="Arial"/>
          <w:sz w:val="24"/>
          <w:szCs w:val="24"/>
        </w:rPr>
      </w:pPr>
      <w:r w:rsidRPr="004E78AE">
        <w:rPr>
          <w:rFonts w:ascii="Book Antiqua" w:eastAsia="Times New Roman" w:hAnsi="Book Antiqua" w:cs="Arial"/>
          <w:sz w:val="24"/>
          <w:szCs w:val="24"/>
        </w:rPr>
        <w:tab/>
      </w:r>
      <w:r w:rsidR="0031085F">
        <w:rPr>
          <w:rFonts w:ascii="Book Antiqua" w:eastAsia="Times New Roman" w:hAnsi="Book Antiqua" w:cs="Arial"/>
          <w:sz w:val="24"/>
          <w:szCs w:val="24"/>
        </w:rPr>
        <w:t xml:space="preserve">          </w:t>
      </w:r>
      <w:r w:rsidRPr="004E78AE">
        <w:rPr>
          <w:rFonts w:ascii="Book Antiqua" w:eastAsia="Times New Roman" w:hAnsi="Book Antiqua" w:cs="Arial"/>
          <w:sz w:val="24"/>
          <w:szCs w:val="24"/>
        </w:rPr>
        <w:t>Validitas kebenaranhukum yang menjadi landasan dasar epistemologi ilmu hukum yang dikembangkan dengan sarana penalaran akal dalam positivisme hukum seperti dikemukakan oleh Hans Kelsen adalah pernyataan yang bersifat koherensi secara yuridis, bukan merupakan perasaan batin yang bersifat irasional yang berada di luar jangkauan logika rasional akal. Hukum harus dapat dipahami secara analisis logis berdasarkan cara berpikir yuristik analitik.</w:t>
      </w:r>
      <w:r w:rsidRPr="004E78AE">
        <w:rPr>
          <w:rStyle w:val="FootnoteReference"/>
          <w:rFonts w:ascii="Book Antiqua" w:eastAsia="Times New Roman" w:hAnsi="Book Antiqua" w:cs="Arial"/>
          <w:sz w:val="24"/>
          <w:szCs w:val="24"/>
        </w:rPr>
        <w:footnoteReference w:id="302"/>
      </w:r>
      <w:r w:rsidRPr="004E78AE">
        <w:rPr>
          <w:rFonts w:ascii="Book Antiqua" w:eastAsia="Times New Roman" w:hAnsi="Book Antiqua" w:cs="Arial"/>
          <w:sz w:val="24"/>
          <w:szCs w:val="24"/>
        </w:rPr>
        <w:t xml:space="preserve"> Teori hukum murni yang dikemukakan Kelsen telah berhasil memisahkan hukum dengan unsur-unsur non-hukum, seperti adanya perasaan yang terdapat dalam benak hati nurani manusia. Pemisahan logika hukum dalam peraturan perundang-undangan dengan hal-hal di luar unsur hukum seperti perasaan hukum yang terdapat dalam hati nurani merupakan bagian dari strategi positivisme hukum agar norma hukum tidak disandarkan kepada hal-hal yang bersifat intersubjektif, akan tetapi disandarkan kepada hukum dasar konstitusi negara yang dapat dipahami secara lebih rasional dan telah cukup mengandung semua unsur yang diperlukan oleh hukum positif.</w:t>
      </w:r>
      <w:r w:rsidRPr="004E78AE">
        <w:rPr>
          <w:rStyle w:val="FootnoteReference"/>
          <w:rFonts w:ascii="Book Antiqua" w:eastAsia="Times New Roman" w:hAnsi="Book Antiqua" w:cs="Arial"/>
          <w:sz w:val="24"/>
          <w:szCs w:val="24"/>
        </w:rPr>
        <w:footnoteReference w:id="303"/>
      </w:r>
      <w:r w:rsidRPr="004E78AE">
        <w:rPr>
          <w:rFonts w:ascii="Book Antiqua" w:eastAsia="Times New Roman" w:hAnsi="Book Antiqua" w:cs="Arial"/>
          <w:sz w:val="24"/>
          <w:szCs w:val="24"/>
        </w:rPr>
        <w:t xml:space="preserve"> Pembatasan akal dan hati nurani yang sangat jelas dapat dipahami dari apa yang disebut sebagai hukum tertinggi adalah kontitusi negara, maka dalam hal ini bukan merupakan termasuk perasaan batin yang muncul dari dalam benak pribadi manusia. Undang-Undang Dasar negara dalam hal ini merupakan dasar dari segala hukum yang dibentuk oleh negara sebagai institusi penguasa yang sah untuk membentuk hukum, bukan atas dasar perasaan batin dalam hati nurani manusia. Hal ini merupakan wujud dari upaya untuk menghalangi laju penalaran hukum agar tidak berjalan menuju kepada tingkat yang tidak lagi mampu terjangkau oleh akal secara rasional, yaitu masuk hati nurani. Mengkaji hukum menurut aliran positivisme hukum berada pada ranah yang dapat dilakukan analisis secara logis rasionalterhadapnya, yaitu peraturan perundang-undangan, bukan suatu kajian hukum yang bersifat intersubjektif yang terdapat dalam perasaan batin </w:t>
      </w:r>
      <w:r w:rsidRPr="004E78AE">
        <w:rPr>
          <w:rFonts w:ascii="Book Antiqua" w:eastAsia="Times New Roman" w:hAnsi="Book Antiqua" w:cs="Arial"/>
          <w:sz w:val="24"/>
          <w:szCs w:val="24"/>
        </w:rPr>
        <w:lastRenderedPageBreak/>
        <w:t xml:space="preserve">manusia.Dalam hal ini juga terkait dengan pernyataan, bahwa hukum dibentuk oleh orang-orang profesional dibidang hukum dengan kemampuan analisis secara logis yang terukur dengan jelas dan pasti, bukan dibentuk oleh kaum sufi yang dinilai telah melepaskan segala nalar akalnya untuk mencapai ketenangan dan ketenteraman batin. Hukum hanya diperuntukkan mengatur kehidupan dunia, bukan kehidupan akherat kelak nanti yang dinilai belum pasti oleh kaum positivisme. </w:t>
      </w:r>
    </w:p>
    <w:p w:rsidR="008258F9" w:rsidRPr="008258F9" w:rsidRDefault="008258F9" w:rsidP="008258F9">
      <w:pPr>
        <w:spacing w:after="0" w:line="240" w:lineRule="auto"/>
        <w:jc w:val="both"/>
        <w:rPr>
          <w:rFonts w:ascii="Book Antiqua" w:hAnsi="Book Antiqua" w:cs="Times New Roman"/>
        </w:rPr>
      </w:pPr>
    </w:p>
    <w:p w:rsidR="008258F9" w:rsidRDefault="008258F9"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63725A" w:rsidRDefault="0063725A" w:rsidP="008258F9">
      <w:pPr>
        <w:spacing w:after="0" w:line="240" w:lineRule="auto"/>
        <w:jc w:val="center"/>
        <w:rPr>
          <w:rFonts w:ascii="Book Antiqua" w:hAnsi="Book Antiqua" w:cs="Times New Roman"/>
          <w:b/>
          <w:sz w:val="32"/>
          <w:szCs w:val="32"/>
        </w:rPr>
      </w:pPr>
    </w:p>
    <w:p w:rsidR="008258F9" w:rsidRPr="001F6DA7" w:rsidRDefault="008258F9" w:rsidP="008258F9">
      <w:pPr>
        <w:spacing w:after="0" w:line="240" w:lineRule="auto"/>
        <w:jc w:val="center"/>
        <w:rPr>
          <w:rFonts w:ascii="Book Antiqua" w:hAnsi="Book Antiqua" w:cs="Times New Roman"/>
          <w:b/>
          <w:sz w:val="32"/>
          <w:szCs w:val="32"/>
        </w:rPr>
      </w:pPr>
      <w:r w:rsidRPr="001F6DA7">
        <w:rPr>
          <w:rFonts w:ascii="Book Antiqua" w:hAnsi="Book Antiqua" w:cs="Times New Roman"/>
          <w:b/>
          <w:sz w:val="32"/>
          <w:szCs w:val="32"/>
        </w:rPr>
        <w:lastRenderedPageBreak/>
        <w:t>BAB 13 Konsep Konvergensi Hukum</w:t>
      </w:r>
    </w:p>
    <w:p w:rsidR="004E78AE" w:rsidRPr="001F6DA7" w:rsidRDefault="004E78AE" w:rsidP="008258F9">
      <w:pPr>
        <w:spacing w:after="0" w:line="240" w:lineRule="auto"/>
        <w:jc w:val="center"/>
        <w:rPr>
          <w:rFonts w:ascii="Book Antiqua" w:hAnsi="Book Antiqua" w:cs="Times New Roman"/>
          <w:b/>
          <w:sz w:val="32"/>
          <w:szCs w:val="32"/>
        </w:rPr>
      </w:pPr>
    </w:p>
    <w:p w:rsidR="00346169" w:rsidRPr="001F6DA7" w:rsidRDefault="00346169" w:rsidP="002B0EFC">
      <w:pPr>
        <w:spacing w:after="0" w:line="360" w:lineRule="auto"/>
        <w:jc w:val="both"/>
        <w:rPr>
          <w:rFonts w:ascii="Book Antiqua" w:eastAsia="Times New Roman" w:hAnsi="Book Antiqua" w:cs="Arial"/>
          <w:b/>
          <w:sz w:val="24"/>
          <w:szCs w:val="24"/>
        </w:rPr>
      </w:pPr>
      <w:r w:rsidRPr="001F6DA7">
        <w:rPr>
          <w:rFonts w:ascii="Book Antiqua" w:eastAsia="Times New Roman" w:hAnsi="Book Antiqua" w:cs="Arial"/>
          <w:b/>
          <w:sz w:val="24"/>
          <w:szCs w:val="24"/>
        </w:rPr>
        <w:t xml:space="preserve">1. </w:t>
      </w:r>
      <w:r w:rsidRPr="001F6DA7">
        <w:rPr>
          <w:rFonts w:ascii="Book Antiqua" w:eastAsia="Times New Roman" w:hAnsi="Book Antiqua" w:cs="Arial"/>
          <w:b/>
          <w:i/>
          <w:sz w:val="24"/>
          <w:szCs w:val="24"/>
        </w:rPr>
        <w:t>Mutual Understanding</w:t>
      </w:r>
      <w:r w:rsidR="001F6DA7">
        <w:rPr>
          <w:rFonts w:ascii="Book Antiqua" w:eastAsia="Times New Roman" w:hAnsi="Book Antiqua" w:cs="Arial"/>
          <w:b/>
          <w:i/>
          <w:sz w:val="24"/>
          <w:szCs w:val="24"/>
        </w:rPr>
        <w:t xml:space="preserve"> </w:t>
      </w:r>
      <w:r w:rsidRPr="001F6DA7">
        <w:rPr>
          <w:rFonts w:ascii="Book Antiqua" w:eastAsia="Times New Roman" w:hAnsi="Book Antiqua" w:cs="Arial"/>
          <w:b/>
          <w:sz w:val="24"/>
          <w:szCs w:val="24"/>
        </w:rPr>
        <w:t>Epistemologi Ilmu Hukum</w:t>
      </w:r>
    </w:p>
    <w:p w:rsidR="00346169" w:rsidRPr="001F6DA7" w:rsidRDefault="00346169" w:rsidP="002B0EFC">
      <w:pPr>
        <w:spacing w:after="0" w:line="360" w:lineRule="auto"/>
        <w:jc w:val="both"/>
        <w:rPr>
          <w:rFonts w:ascii="Book Antiqua" w:eastAsia="Times New Roman" w:hAnsi="Book Antiqua" w:cs="Arial"/>
          <w:sz w:val="24"/>
          <w:szCs w:val="24"/>
        </w:rPr>
      </w:pPr>
      <w:r w:rsidRPr="001F6DA7">
        <w:rPr>
          <w:rFonts w:ascii="Book Antiqua" w:eastAsia="Times New Roman" w:hAnsi="Book Antiqua" w:cs="Arial"/>
          <w:sz w:val="24"/>
          <w:szCs w:val="24"/>
        </w:rPr>
        <w:t xml:space="preserve">          Berbagai macam epistemologi ilmu hukum yang ada dapat berdampak baik dan buruk terhadap perkembangan hukum. Varian corak dan model epistemologi ilmu hukum yang ada dapat memberikan alternatif terhadap upaya pemecahan permasalahan hukum yang semakin kompleks. Akan tetapi, keadaan yang terjadi menunjukkan adanya kecenderungan untuk melakukan pengukuhan terhadap kebenaran yang dihasilkan dari masing-masing epistemologi ilmu hukum yang ada, sehingga hal ini menimbulkan konflik sebagai faktor determinan yang menyebabkan permasalahan dalam tahap dialektik epistemologi ilmu hukum. Konflik epistemologi ilmu hukum, meskipun dapat dipahami secara positif sebagai proses sejarah kelahiran dan perkembangan berbagai pemikiran hukum, akan tetapi pada keadaan tertentu dapat menjadi permasalahan yang mengganggu perkembangan hukum. Cara pandang yang berbeda terhadap objek, metode penalaran dan nilai kemanfaatan epistemologi ilmu hukum menjadi proses pergulatan dalam memahami kebenaran epistemologi ilmu hukum tidak pernah selesai dengan pengukuhan salah satu pihak yang mampu bertahan. Kondisi seperti ini tidak dapat dipersalahkan, karena epistemologi ilmu hukum dihadapkan pada permasalahan hukum yang berbeda-beda, sehingga menuntut digunakannya cara yang berbeda pula sesuai dengan konteks permasalahan yang terjadi. Namun demikian jika tidak dilakukan pembaruan terhadap epistemologi ilmu hukum tersebut dapat berdampak pada konflik epistemologi ilmu hukum yang semakin mendistorsi kebenaran yang dihasilkannya karena turut bergabungnya berbagai kepentingan. Perlu konsep konvergensi epistemologi berkeadaban dalam ilmu hukum guna memperoleh pemahaman yangutuh, komprehensif dan bijak sesuai dengan nilai-nilai ajaran agama Islam yang terdapat dalam wahyu al-Quran.Dalam memahami konsepkonvergensi epistemologi berkeadaban dalam ilmu hukum pada tahap awal dilakukan dengan memahami formasi dan struktur epistemologi ilmu hukum, kelebihan dan kekurangan serta kesediaan untuk saling memberi dan menerima kelebihan dan kelemahan epistemologi ilmu hukum tersebut.</w:t>
      </w:r>
    </w:p>
    <w:p w:rsidR="00346169" w:rsidRPr="001F6DA7" w:rsidRDefault="00346169" w:rsidP="002B0EFC">
      <w:pPr>
        <w:spacing w:after="0" w:line="360" w:lineRule="auto"/>
        <w:jc w:val="both"/>
        <w:rPr>
          <w:rFonts w:ascii="Book Antiqua" w:eastAsia="Times New Roman" w:hAnsi="Book Antiqua" w:cs="Arial"/>
          <w:b/>
          <w:sz w:val="24"/>
          <w:szCs w:val="24"/>
        </w:rPr>
      </w:pPr>
      <w:r w:rsidRPr="001F6DA7">
        <w:rPr>
          <w:rFonts w:ascii="Book Antiqua" w:eastAsia="Times New Roman" w:hAnsi="Book Antiqua" w:cs="Arial"/>
          <w:b/>
          <w:sz w:val="24"/>
          <w:szCs w:val="24"/>
        </w:rPr>
        <w:lastRenderedPageBreak/>
        <w:t>a. Memahami formasi dan struktur sarana penalaran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1F6DA7">
        <w:rPr>
          <w:rFonts w:ascii="Book Antiqua" w:eastAsia="Times New Roman" w:hAnsi="Book Antiqua" w:cs="Arial"/>
          <w:sz w:val="24"/>
          <w:szCs w:val="24"/>
        </w:rPr>
        <w:t>Dalam epistemologi ilmu hukum, pemahaman terhadap formasi epistemologi</w:t>
      </w:r>
      <w:r w:rsidRPr="002B0EFC">
        <w:rPr>
          <w:rFonts w:ascii="Book Antiqua" w:eastAsia="Times New Roman" w:hAnsi="Book Antiqua" w:cs="Arial"/>
          <w:sz w:val="24"/>
          <w:szCs w:val="24"/>
        </w:rPr>
        <w:t xml:space="preserve"> ilmu hukum terkait dengan cara pandang terhadap keberadaan yang menyangkut kedudukan atau eksistensi sarana penalaran epistemologi ilmu hukum tersebut. Dalam hal ini berkenaan dengan kedudukan indera, akal dan hati nuranidalam epistemologi ilmu hukum. Pembahasan tentang formasi sarana penalaran epistemologi ilmu hukum jika dikaji berdasarkan dengan kerangka konseptual teoritik, maka kedudukan sarana penalaran epistemologi ilmu hukum seperti halnya dalam ilmu pengetahuan yang lain terdiri dari dua hal, yaitu ilmu pengetahuan lahir dan ilmu pengetahuan batin.Hal ini seperti makna berkeadaban sebagai ketinggian tingkat kecerdasan lahir batin dalam kamus bahasa Indonesia.</w:t>
      </w:r>
      <w:r w:rsidRPr="002B0EFC">
        <w:rPr>
          <w:rStyle w:val="FootnoteReference"/>
          <w:rFonts w:ascii="Book Antiqua" w:eastAsia="Calibri" w:hAnsi="Book Antiqua" w:cs="Arial"/>
          <w:sz w:val="24"/>
          <w:szCs w:val="24"/>
        </w:rPr>
        <w:footnoteReference w:id="304"/>
      </w:r>
      <w:r w:rsidRPr="002B0EFC">
        <w:rPr>
          <w:rFonts w:ascii="Book Antiqua" w:eastAsia="Times New Roman" w:hAnsi="Book Antiqua" w:cs="Arial"/>
          <w:sz w:val="24"/>
          <w:szCs w:val="24"/>
        </w:rPr>
        <w:t xml:space="preserve">Ilmu pengetahuan lahir yang dimaksud adalah ilmu pengetahuan yang berhubungan dengan amal anggota badan, termasuk indera dan akal. Sedangkan ilmu pengetahuan batin adalah ilmu pengetahuan yang berhubungan dengan amal hati nurani. </w:t>
      </w:r>
      <w:r w:rsidRPr="002B0EFC">
        <w:rPr>
          <w:rFonts w:ascii="Book Antiqua" w:hAnsi="Book Antiqua" w:cs="Arial"/>
          <w:sz w:val="24"/>
          <w:szCs w:val="24"/>
        </w:rPr>
        <w:t>Ilmu pengetahuan lahir bersifat riil dan nyata, objeknya jelas dan dapat dibuktikan secara empiris. Ilmu pengetahuan lahir juga dapat bersifat rasional, karena rasio yang wujud aslinya otak ada di dalam kepala manusia dan bekerjanya diawali dari objek yang ditangkap oleh indera manusia. Sedangkan ilmu pengetahuan batin tidak terlihat secara nyata dan terkait dengan hati manusia.</w:t>
      </w:r>
      <w:r w:rsidRPr="002B0EFC">
        <w:rPr>
          <w:rStyle w:val="FootnoteReference"/>
          <w:rFonts w:ascii="Book Antiqua" w:hAnsi="Book Antiqua" w:cs="Arial"/>
          <w:sz w:val="24"/>
          <w:szCs w:val="24"/>
        </w:rPr>
        <w:footnoteReference w:id="305"/>
      </w:r>
      <w:r w:rsidRPr="002B0EFC">
        <w:rPr>
          <w:rFonts w:ascii="Book Antiqua" w:hAnsi="Book Antiqua" w:cs="Arial"/>
          <w:sz w:val="24"/>
          <w:szCs w:val="24"/>
        </w:rPr>
        <w:t xml:space="preserve"> Berdasarkan uraian tersebut, indera dan akal dalam sarana penalaran epistemologiberkedudukan sebagai ilmu pengetahuan lahir, sehingga dalam ilmu hukum, indera dan akal juga memiliki kedudukan yang hampir sama. Hal itu dapat dilihat dari sifatcara kerjanya yang terkait dengan realitas empiris hukum dan logika hukum positif yang secara nyata dan objektif tertangkap oleh indera dan akal.Sedangkan hati nurani dalam sarana penalaran epistemologi berkedudukan sebagai ilmu pengetahuan batin, sehingga dalam ilmu hukum, hati nurani juga memiliki kedudukan yang sama. Hal itu dapat dilihat dari sifat kerjanya yang terkait dengan perasaan batin dalam hukum yang tertangkap oleh hati nurani.</w:t>
      </w:r>
      <w:r w:rsidRPr="002B0EFC">
        <w:rPr>
          <w:rFonts w:ascii="Book Antiqua" w:eastAsia="Times New Roman" w:hAnsi="Book Antiqua" w:cs="Arial"/>
          <w:sz w:val="24"/>
          <w:szCs w:val="24"/>
        </w:rPr>
        <w:t xml:space="preserve">Kedudukan sarana penalaran epistemologi tersebut tidak lepas dari fitrah </w:t>
      </w:r>
      <w:r w:rsidRPr="002B0EFC">
        <w:rPr>
          <w:rFonts w:ascii="Book Antiqua" w:eastAsia="Times New Roman" w:hAnsi="Book Antiqua" w:cs="Arial"/>
          <w:sz w:val="24"/>
          <w:szCs w:val="24"/>
        </w:rPr>
        <w:lastRenderedPageBreak/>
        <w:t>manusia sebagai mahluk Tuhan yang mendapat anugerah sumber daya manusia tersebut untuk menyempurnakan kedudukan manusia secara lahir dan batin sebagai mahluk Tuhan yang memiliki derajat lebih tinggi dari mahluk yang lain.</w:t>
      </w:r>
      <w:r w:rsidRPr="002B0EFC">
        <w:rPr>
          <w:rStyle w:val="FootnoteReference"/>
          <w:rFonts w:ascii="Book Antiqua" w:hAnsi="Book Antiqua" w:cs="Arial"/>
          <w:sz w:val="24"/>
          <w:szCs w:val="24"/>
        </w:rPr>
        <w:footnoteReference w:id="306"/>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Pemahaman tersebut sesuai dengan makna beradab yang terdapat dalam sila kedua Pancasila.</w:t>
      </w:r>
      <w:r w:rsidRPr="002B0EFC">
        <w:rPr>
          <w:rFonts w:ascii="Book Antiqua" w:hAnsi="Book Antiqua" w:cs="Arial"/>
          <w:sz w:val="24"/>
          <w:szCs w:val="24"/>
          <w:vertAlign w:val="superscript"/>
        </w:rPr>
        <w:footnoteReference w:id="307"/>
      </w:r>
      <w:r w:rsidRPr="002B0EFC">
        <w:rPr>
          <w:rFonts w:ascii="Book Antiqua" w:eastAsia="Times New Roman" w:hAnsi="Book Antiqua" w:cs="Arial"/>
          <w:sz w:val="24"/>
          <w:szCs w:val="24"/>
        </w:rPr>
        <w:t xml:space="preserve"> Makna berkeadaban yang di dalamnya mengandung prinsip manusia dengan segala aspek nilai-nilai yang melingkupinya sebagai hamba Tuhan dalam kehidupan bernegara telah dirumuskan oleh para pendiri bangsa.</w:t>
      </w:r>
      <w:r w:rsidRPr="002B0EFC">
        <w:rPr>
          <w:rFonts w:ascii="Book Antiqua" w:hAnsi="Book Antiqua" w:cs="Arial"/>
          <w:sz w:val="24"/>
          <w:szCs w:val="24"/>
          <w:vertAlign w:val="superscript"/>
        </w:rPr>
        <w:footnoteReference w:id="308"/>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Pembahasan tentang struktur epistemologi ilmu hukum memiliki keterkaitan erat dengan formasiepistemologi ilmu hukum seperti tersebut di atas dan lebih khusus merupakan pemahaman tentang peran danfungsi sarana penalaran epistemologi ilmu hukum. Dalam hal ini berarti akan membahas tentang peran danfungsiindera dan akal sebagai ilmu pengetahuan lahir, dan hati nuranisebagai ilmu pengetahuan batin dalam epistemologi ilmu hukum. Pembahasan tentang peran dan fungsi sarana penalaran epistemologi ilmu hukum tidak lepas dari metode yang digunakan sarana penalaran epistemologi ilmu hukum tersebut, sehingga secara tidak langsung akan menempatkan kedudukan sarana penalaran epistemologi ilmu hukum ke dalam sistem penalaran manusia. Berdasarkan kerangka konseptual teoritik tersebut di atas, pada hakikatnya sarana penalaran utama epistemologi ilmu hukum seperti dalam ilmu pengetahuan lain terdiri dari yang bersifat lahir yang dilakukan oleh indera dan akal, dan bersifat batin yang dilakukan oleh hati nurani. Peran dan fungsi sarana penalaran epistemologi ilmu hukum tersebut, adalah: indera untuk melihat secara lahiriah kebenaran realitas empiris yang nyata dan konkrit; akal untuk berpikir secara logika rasional dalam memahami kebenaran objektif yang tertangkapindera secara lahir; hati nurani untuk merasakan kebenaran yang tersembunyi di dalam perasaan benak batin manusia.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Sebagaimana telah dijelaskan di atas, bahwa dalam epistemologi ilmu hukum terdapat tigasarana penalaran utama yang berupa indera, akal dan hati nurani. Keberadaan sarana penalaran utama epistemologi ilmu hukum tersebut telah diakui </w:t>
      </w:r>
      <w:r w:rsidRPr="002B0EFC">
        <w:rPr>
          <w:rFonts w:ascii="Book Antiqua" w:eastAsia="Times New Roman" w:hAnsi="Book Antiqua" w:cs="Arial"/>
          <w:sz w:val="24"/>
          <w:szCs w:val="24"/>
        </w:rPr>
        <w:lastRenderedPageBreak/>
        <w:t>sebagai formasi dan struktur yang memiliki pengaruh cukup besar dalam upaya pembentukan sejarah dan perkembangan ilmu hukum. Hal tersebut dapat dilihat dari penggunaan hati nuranisebagai sarana penalaran utama epistemologi hukum kodrat, akal sebagai sarana penalaran utama epistemologi positivisme hukum dan indera sebagai sarana penalaran utama epistemologi mahzab sejarah hukum. Keberadaan indera, akal dan hati nuranisebagai sarana penalaran utama epistemologi ilmu hukum jika dipahami secara filosofis akan mengandung makna, bahwa dalam ilmu hukum terdapat formasi dan struktur penalaran yang menjadi dasar kajian terhadap aspek ontologi, epistemologi dan aksiologi ilmu hukum.Kedudukan dan peran indera, akal dan hati nuranisangat penting dan menentukan kualitas pengetahuan jika dikaitkan dengan hal-hal yang menyangkut kebenaran dan validitas ilmu pengetahuan yang dimaksud. Dalam epistemologi ilmu hukum, hal ini sesuai dengan apa yang dikemukakan oleh Russell D. Covey, bahwa pemilihan bentuk hukum dengan penalaran epistemologinya akan memiliki dampak pengaruh yang jelas terhadap sejumlah hal-hal penting yang terkait dengan permasalahan hukum yang sedang dihadapi.</w:t>
      </w:r>
      <w:r w:rsidRPr="002B0EFC">
        <w:rPr>
          <w:rStyle w:val="FootnoteReference"/>
          <w:rFonts w:ascii="Book Antiqua" w:eastAsia="Times New Roman" w:hAnsi="Book Antiqua" w:cs="Arial"/>
          <w:sz w:val="24"/>
          <w:szCs w:val="24"/>
        </w:rPr>
        <w:footnoteReference w:id="309"/>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Indera,</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akal</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dan hati nurani</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sebagai sarana penalaran utama dalam mengembangkan epistemologi ilmu pengetahuan</w:t>
      </w:r>
      <w:r w:rsidR="001F6DA7">
        <w:rPr>
          <w:rFonts w:ascii="Book Antiqua" w:eastAsia="Times New Roman" w:hAnsi="Book Antiqua" w:cs="Arial"/>
          <w:sz w:val="24"/>
          <w:szCs w:val="24"/>
        </w:rPr>
        <w:t xml:space="preserve"> </w:t>
      </w:r>
      <w:r w:rsidRPr="002B0EFC">
        <w:rPr>
          <w:rFonts w:ascii="Book Antiqua" w:eastAsia="Times New Roman" w:hAnsi="Book Antiqua" w:cs="Arial"/>
          <w:sz w:val="24"/>
          <w:szCs w:val="24"/>
        </w:rPr>
        <w:t>pada dasarnya merupakan sumber daya yang telah dianugerahkan oleh Tuhan kepada manusia, sebagaimana telah disebutkan dalam wahyu al-Quran.</w:t>
      </w:r>
      <w:r w:rsidRPr="002B0EFC">
        <w:rPr>
          <w:rStyle w:val="FootnoteReference"/>
          <w:rFonts w:ascii="Book Antiqua" w:eastAsia="Times New Roman" w:hAnsi="Book Antiqua" w:cs="Arial"/>
          <w:sz w:val="24"/>
          <w:szCs w:val="24"/>
        </w:rPr>
        <w:footnoteReference w:id="310"/>
      </w:r>
      <w:r w:rsidRPr="002B0EFC">
        <w:rPr>
          <w:rFonts w:ascii="Book Antiqua" w:eastAsia="Times New Roman" w:hAnsi="Book Antiqua" w:cs="Arial"/>
          <w:sz w:val="24"/>
          <w:szCs w:val="24"/>
        </w:rPr>
        <w:t xml:space="preserve"> Sarana penalaran utama epistemologi ilmu hukum tersebut harus dipahami kedudukannya sebagai formasi sarana penalaran yang terkait dengan struktur metode penalaranilmu hukum, sehingga penggunaannya tidak dapat dilakukan secara terpisah. Sering terjadi kegagalan ilmu hukum dalam upaya mempertahankan kebenaran yang dipahami karena menggunakan sarana penalaran epistemologi tersebut secara terpisah dan parsial dalam kebenaran masing-masing. Indera, akal dan hati nurani dalam epistemologi ilmu hukum memiliki objek kajian, metode penalaran dan nilai kemanfaatan yang berbeda. Namun demikian, hal ini bukan berarti untuk dipertentangkan dalam mencari kebenaran ilmu hukum, tetapi harus dipahami sebagai bagian yangterpisah </w:t>
      </w:r>
      <w:r w:rsidRPr="002B0EFC">
        <w:rPr>
          <w:rFonts w:ascii="Book Antiqua" w:eastAsia="Times New Roman" w:hAnsi="Book Antiqua" w:cs="Arial"/>
          <w:sz w:val="24"/>
          <w:szCs w:val="24"/>
        </w:rPr>
        <w:lastRenderedPageBreak/>
        <w:t>dari sarana penalaran yang harus disatukan dalam sikap saling memahami, menerima dan memberi, serta memperbaiki diri untuk mencapai satu titk temu kebenarantertinggi di bawah petunjuk Tuhan.</w:t>
      </w:r>
      <w:r w:rsidRPr="002B0EFC">
        <w:rPr>
          <w:rStyle w:val="FootnoteReference"/>
          <w:rFonts w:ascii="Book Antiqua" w:eastAsia="Times New Roman" w:hAnsi="Book Antiqua" w:cs="Arial"/>
          <w:sz w:val="24"/>
          <w:szCs w:val="24"/>
        </w:rPr>
        <w:footnoteReference w:id="311"/>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1). Formasi dan struktur indera dalam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Indera, seperti yang telah disinggung di atas berkedudukan sebagai sarana penalaran utama dalam mengembangkan epistemologi ilmu pengetahuan yang bersifat lahir memiliki peran untuk melihat kebenaran dari hal-hal yang bersifat konkrit dan nyata. Hal ini sesuai denganQ.S Yunus ayat 101; </w:t>
      </w:r>
      <w:r w:rsidRPr="002B0EFC">
        <w:rPr>
          <w:rFonts w:ascii="Book Antiqua" w:eastAsia="Times New Roman" w:hAnsi="Book Antiqua" w:cs="Arial"/>
          <w:i/>
          <w:sz w:val="24"/>
          <w:szCs w:val="24"/>
        </w:rPr>
        <w:t>"Katakanlah, lihatlah segala yang ada di langit-langit dan di bumi."</w:t>
      </w:r>
      <w:r w:rsidRPr="002B0EFC">
        <w:rPr>
          <w:rFonts w:ascii="Book Antiqua" w:eastAsia="Times New Roman" w:hAnsi="Book Antiqua" w:cs="Arial"/>
          <w:sz w:val="24"/>
          <w:szCs w:val="24"/>
        </w:rPr>
        <w:t xml:space="preserve"> Dalam ayat tersebut menjelaskan tentang adanya perintah Tuhan kepada </w:t>
      </w:r>
      <w:r w:rsidRPr="002B0EFC">
        <w:rPr>
          <w:rFonts w:ascii="Book Antiqua" w:eastAsia="Times New Roman" w:hAnsi="Book Antiqua" w:cs="Arial"/>
          <w:color w:val="000000" w:themeColor="text1"/>
          <w:sz w:val="24"/>
          <w:szCs w:val="24"/>
        </w:rPr>
        <w:t>manusia untuk menggunakan indera dalam memperoleh dan menjelaskan kebenaran pengetahuan atas segala apa yang telah diciptakan Tuhan di langit dan bumi. I</w:t>
      </w:r>
      <w:r w:rsidRPr="002B0EFC">
        <w:rPr>
          <w:rFonts w:ascii="Book Antiqua" w:eastAsia="Calibri" w:hAnsi="Book Antiqua" w:cs="Arial"/>
          <w:color w:val="000000" w:themeColor="text1"/>
          <w:sz w:val="24"/>
          <w:szCs w:val="24"/>
        </w:rPr>
        <w:t>ndera sebagai sarana penalaran utama epistemologi ilmu pengetahuan, sebagaimana dikatakan oleh Ikhwan al-Shafa,</w:t>
      </w:r>
      <w:r w:rsidRPr="002B0EFC">
        <w:rPr>
          <w:rStyle w:val="FootnoteReference"/>
          <w:rFonts w:ascii="Book Antiqua" w:eastAsia="Calibri" w:hAnsi="Book Antiqua" w:cs="Arial"/>
          <w:color w:val="000000" w:themeColor="text1"/>
          <w:sz w:val="24"/>
          <w:szCs w:val="24"/>
        </w:rPr>
        <w:footnoteReference w:id="312"/>
      </w:r>
      <w:r w:rsidRPr="002B0EFC">
        <w:rPr>
          <w:rFonts w:ascii="Book Antiqua" w:eastAsia="Calibri" w:hAnsi="Book Antiqua" w:cs="Arial"/>
          <w:color w:val="000000" w:themeColor="text1"/>
          <w:sz w:val="24"/>
          <w:szCs w:val="24"/>
        </w:rPr>
        <w:t xml:space="preserve"> dan Bertrand Russel,</w:t>
      </w:r>
      <w:r w:rsidRPr="002B0EFC">
        <w:rPr>
          <w:rFonts w:ascii="Book Antiqua" w:eastAsia="Calibri" w:hAnsi="Book Antiqua" w:cs="Arial"/>
          <w:color w:val="000000" w:themeColor="text1"/>
          <w:sz w:val="24"/>
          <w:szCs w:val="24"/>
          <w:vertAlign w:val="superscript"/>
        </w:rPr>
        <w:footnoteReference w:id="313"/>
      </w:r>
      <w:r w:rsidRPr="002B0EFC">
        <w:rPr>
          <w:rFonts w:ascii="Book Antiqua" w:eastAsia="Calibri" w:hAnsi="Book Antiqua" w:cs="Arial"/>
          <w:color w:val="000000" w:themeColor="text1"/>
          <w:sz w:val="24"/>
          <w:szCs w:val="24"/>
        </w:rPr>
        <w:t xml:space="preserve"> yaitu untuk mendapat kebenaran paling awal dan tidak ada yang mendahuluinya melalui pengamatan terhadap realitas nyata yang ada.Beberapa </w:t>
      </w:r>
      <w:r w:rsidRPr="002B0EFC">
        <w:rPr>
          <w:rFonts w:ascii="Book Antiqua" w:eastAsia="Calibri" w:hAnsi="Book Antiqua" w:cs="Arial"/>
          <w:sz w:val="24"/>
          <w:szCs w:val="24"/>
        </w:rPr>
        <w:t>filsuf dengan cara pandang inderawi tersebut telah mengukuhkan teori empirisme terkait penyelidikan terhadap kebenaran awal yang bertumpu pada realitas nyata yang tampak secara lahiriah.</w:t>
      </w:r>
      <w:r w:rsidRPr="002B0EFC">
        <w:rPr>
          <w:rFonts w:ascii="Book Antiqua" w:eastAsia="Calibri" w:hAnsi="Book Antiqua" w:cs="Arial"/>
          <w:sz w:val="24"/>
          <w:szCs w:val="24"/>
          <w:vertAlign w:val="superscript"/>
        </w:rPr>
        <w:footnoteReference w:id="314"/>
      </w:r>
      <w:r w:rsidRPr="002B0EFC">
        <w:rPr>
          <w:rFonts w:ascii="Book Antiqua" w:eastAsia="Calibri" w:hAnsi="Book Antiqua" w:cs="Arial"/>
          <w:sz w:val="24"/>
          <w:szCs w:val="24"/>
        </w:rPr>
        <w:t xml:space="preserve"> Pandangan dari kaum empirisme tersebut pada masa-masa selanjutnya sangat mempengaruhi perkembangan dunia ilmu pengetahuan,</w:t>
      </w:r>
      <w:r w:rsidRPr="002B0EFC">
        <w:rPr>
          <w:rFonts w:ascii="Book Antiqua" w:eastAsia="Calibri" w:hAnsi="Book Antiqua" w:cs="Arial"/>
          <w:sz w:val="24"/>
          <w:szCs w:val="24"/>
          <w:vertAlign w:val="superscript"/>
        </w:rPr>
        <w:footnoteReference w:id="315"/>
      </w:r>
      <w:r w:rsidRPr="002B0EFC">
        <w:rPr>
          <w:rFonts w:ascii="Book Antiqua" w:eastAsia="Calibri" w:hAnsi="Book Antiqua" w:cs="Arial"/>
          <w:sz w:val="24"/>
          <w:szCs w:val="24"/>
        </w:rPr>
        <w:t xml:space="preserve"> termasuk dalam ilmu hukum yang melihat pergaulan masyarakatsebagai bentuk dari empirisme hukum yang dapat ditangkap oleh indera.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Pandangan empirisme inderawitelah memberi corak baru bagi perkembangan filsafat ilmu pengetahuan yang terkait dengan metode ilmiah (</w:t>
      </w:r>
      <w:r w:rsidRPr="002B0EFC">
        <w:rPr>
          <w:rFonts w:ascii="Book Antiqua" w:eastAsia="Calibri" w:hAnsi="Book Antiqua" w:cs="Arial"/>
          <w:i/>
          <w:sz w:val="24"/>
          <w:szCs w:val="24"/>
        </w:rPr>
        <w:t>scientific method</w:t>
      </w:r>
      <w:r w:rsidRPr="002B0EFC">
        <w:rPr>
          <w:rFonts w:ascii="Book Antiqua" w:eastAsia="Calibri" w:hAnsi="Book Antiqua" w:cs="Arial"/>
          <w:sz w:val="24"/>
          <w:szCs w:val="24"/>
        </w:rPr>
        <w:t>), bahwa kebenaran yang paling baik tentang metode ilmiah seperti dikemukakan oleh paham empirisme.</w:t>
      </w:r>
      <w:r w:rsidRPr="002B0EFC">
        <w:rPr>
          <w:rFonts w:ascii="Book Antiqua" w:eastAsia="Calibri" w:hAnsi="Book Antiqua" w:cs="Arial"/>
          <w:sz w:val="24"/>
          <w:szCs w:val="24"/>
          <w:vertAlign w:val="superscript"/>
        </w:rPr>
        <w:footnoteReference w:id="316"/>
      </w:r>
      <w:r w:rsidRPr="002B0EFC">
        <w:rPr>
          <w:rFonts w:ascii="Book Antiqua" w:eastAsia="Calibri" w:hAnsi="Book Antiqua" w:cs="Arial"/>
          <w:sz w:val="24"/>
          <w:szCs w:val="24"/>
        </w:rPr>
        <w:t xml:space="preserve">Dalam hal ini, apabila mengacu pada metode ilmiah dari paham empirisme seperti dikemukakan Bacon, maka yang </w:t>
      </w:r>
      <w:r w:rsidRPr="002B0EFC">
        <w:rPr>
          <w:rFonts w:ascii="Book Antiqua" w:eastAsia="Calibri" w:hAnsi="Book Antiqua" w:cs="Arial"/>
          <w:sz w:val="24"/>
          <w:szCs w:val="24"/>
        </w:rPr>
        <w:lastRenderedPageBreak/>
        <w:t xml:space="preserve">disebut sebagai pandangan hukum yang benar adalah fakta riil dari pergaulan masyarakat yang nyata terjadi dalam kehidupan sosial. Pandangan ini didasari karena hanya objek hukum yang bersifat lahiriah empiris nyata yang dapat tertangkap oleh epistemologi ilmu hukum yang dikembangkan dengan sarana penalaran indera. Indera sebagai sarana penalaran epistemologi ilmu pengetahuan manusia merupakan anugerah Tuhan untuk melihat kebenaran yang bersifat lahiriah, seperti dijelaskan dalam Q.S Qaaf ayat 7; </w:t>
      </w:r>
      <w:r w:rsidRPr="002B0EFC">
        <w:rPr>
          <w:rFonts w:ascii="Book Antiqua" w:eastAsia="Calibri" w:hAnsi="Book Antiqua" w:cs="Arial"/>
          <w:i/>
          <w:sz w:val="24"/>
          <w:szCs w:val="24"/>
        </w:rPr>
        <w:t>“Dan kami hamparkan bumi itu dan kami letakkan padanya gunung-gunung yang kokoh dan kami tumbuhkan padanya segala macam tanaman yang indah dipandang mata.”</w:t>
      </w:r>
      <w:r w:rsidRPr="002B0EFC">
        <w:rPr>
          <w:rFonts w:ascii="Book Antiqua" w:eastAsia="Calibri" w:hAnsi="Book Antiqua" w:cs="Arial"/>
          <w:sz w:val="24"/>
          <w:szCs w:val="24"/>
        </w:rPr>
        <w:t xml:space="preserve"> Memandang hukum sebagai realitas empiris yang nyata di masyarakat menurut Aditya Bamzai dapat dilakukan dengan melakukan analisis historis yang bersifat tradisional terhadap hukum lokal (adat) yang berlaku dalam kehidupan masyarakat.</w:t>
      </w:r>
      <w:r w:rsidRPr="002B0EFC">
        <w:rPr>
          <w:rStyle w:val="FootnoteReference"/>
          <w:rFonts w:ascii="Book Antiqua" w:eastAsia="Calibri" w:hAnsi="Book Antiqua" w:cs="Arial"/>
          <w:sz w:val="24"/>
          <w:szCs w:val="24"/>
        </w:rPr>
        <w:footnoteReference w:id="317"/>
      </w:r>
      <w:r w:rsidRPr="002B0EFC">
        <w:rPr>
          <w:rFonts w:ascii="Book Antiqua" w:eastAsia="Calibri" w:hAnsi="Book Antiqua" w:cs="Arial"/>
          <w:sz w:val="24"/>
          <w:szCs w:val="24"/>
        </w:rPr>
        <w:t xml:space="preserve"> Penerapan yang hampir sama terhadap cara pandang realitas empiris hukum di masyarakat menurut Denise Brunsdonjuga seperti dalam tradisi hukum adat (</w:t>
      </w:r>
      <w:r w:rsidRPr="002B0EFC">
        <w:rPr>
          <w:rFonts w:ascii="Book Antiqua" w:eastAsia="Calibri" w:hAnsi="Book Antiqua" w:cs="Arial"/>
          <w:i/>
          <w:sz w:val="24"/>
          <w:szCs w:val="24"/>
        </w:rPr>
        <w:t>indigenous law tradition</w:t>
      </w:r>
      <w:r w:rsidRPr="002B0EFC">
        <w:rPr>
          <w:rFonts w:ascii="Book Antiqua" w:eastAsia="Calibri" w:hAnsi="Book Antiqua" w:cs="Arial"/>
          <w:sz w:val="24"/>
          <w:szCs w:val="24"/>
        </w:rPr>
        <w:t>/ILTs) untuk melihat hukum yang ada di masyarakat.</w:t>
      </w:r>
      <w:r w:rsidRPr="002B0EFC">
        <w:rPr>
          <w:rStyle w:val="FootnoteReference"/>
          <w:rFonts w:ascii="Book Antiqua" w:eastAsia="Calibri" w:hAnsi="Book Antiqua" w:cs="Arial"/>
          <w:sz w:val="24"/>
          <w:szCs w:val="24"/>
        </w:rPr>
        <w:footnoteReference w:id="318"/>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Kedudukan i</w:t>
      </w:r>
      <w:r w:rsidRPr="002B0EFC">
        <w:rPr>
          <w:rFonts w:ascii="Book Antiqua" w:eastAsia="Calibri" w:hAnsi="Book Antiqua" w:cs="Arial"/>
          <w:sz w:val="24"/>
          <w:szCs w:val="24"/>
        </w:rPr>
        <w:t xml:space="preserve">ndera sebagai sarana penalaran utama epistemologi ilmu hukum yang bersifat lahiriah pada dasarnya memiliki cara kerja yang hampir sama dalam ilmu pengetahuan yang lain, seperti diciptakannya mata oleh Tuhan untuk manusia melihat, sebagaimana yang dijelaskan dalam Q.S Al Haaqah ayat 38-39; </w:t>
      </w:r>
      <w:r w:rsidRPr="002B0EFC">
        <w:rPr>
          <w:rFonts w:ascii="Book Antiqua" w:eastAsia="Calibri" w:hAnsi="Book Antiqua" w:cs="Arial"/>
          <w:i/>
          <w:sz w:val="24"/>
          <w:szCs w:val="24"/>
        </w:rPr>
        <w:t>“Maka Aku bersumpah dengan apa yang kamu lihat dan dengan apa yang tidak kamu lihat.”</w:t>
      </w:r>
      <w:r w:rsidRPr="002B0EFC">
        <w:rPr>
          <w:rFonts w:ascii="Book Antiqua" w:eastAsia="Calibri" w:hAnsi="Book Antiqua" w:cs="Arial"/>
          <w:sz w:val="24"/>
          <w:szCs w:val="24"/>
        </w:rPr>
        <w:t xml:space="preserve"> Kedudukan indera sebagai sarana penalaran untuk mengembangkan epistemologi </w:t>
      </w:r>
      <w:r w:rsidRPr="002B0EFC">
        <w:rPr>
          <w:rFonts w:ascii="Book Antiqua" w:eastAsia="Calibri" w:hAnsi="Book Antiqua" w:cs="Arial"/>
          <w:color w:val="000000" w:themeColor="text1"/>
          <w:sz w:val="24"/>
          <w:szCs w:val="24"/>
        </w:rPr>
        <w:t>yang bersifat lahiriah seperti dikemukakan kaum empirisme, bahwa i</w:t>
      </w:r>
      <w:r w:rsidRPr="002B0EFC">
        <w:rPr>
          <w:rFonts w:ascii="Book Antiqua" w:eastAsia="Times New Roman" w:hAnsi="Book Antiqua" w:cs="Arial"/>
          <w:color w:val="000000" w:themeColor="text1"/>
          <w:sz w:val="24"/>
          <w:szCs w:val="24"/>
        </w:rPr>
        <w:t>lmu pengetahuan merupakan pengenalan terhadap objek berkaitan dengan sebab dan prinsip yang melingkupinya. Objek pengetahuan dapat berupa objek inderawi, yaitu benda yang berdiri sendiri atau bentuk lahir yang ditunjukkan oleh benda tersebut.</w:t>
      </w:r>
      <w:r w:rsidRPr="002B0EFC">
        <w:rPr>
          <w:rFonts w:ascii="Book Antiqua" w:eastAsia="Calibri" w:hAnsi="Book Antiqua" w:cs="Arial"/>
          <w:color w:val="000000" w:themeColor="text1"/>
          <w:sz w:val="24"/>
          <w:szCs w:val="24"/>
        </w:rPr>
        <w:t>K</w:t>
      </w:r>
      <w:r w:rsidRPr="002B0EFC">
        <w:rPr>
          <w:rFonts w:ascii="Book Antiqua" w:eastAsia="Calibri" w:hAnsi="Book Antiqua" w:cs="Arial"/>
          <w:sz w:val="24"/>
          <w:szCs w:val="24"/>
        </w:rPr>
        <w:t xml:space="preserve">ebenaran empiris dipandang sebagai realitas nyata secara lahiriah yang pertama-tama akan melalui proses pengamatan oleh indera. Akal menurut John Locke seperti papan tulis yang masih kosong atau diibaratkan seperti kamera yang </w:t>
      </w:r>
      <w:r w:rsidRPr="002B0EFC">
        <w:rPr>
          <w:rFonts w:ascii="Book Antiqua" w:eastAsia="Calibri" w:hAnsi="Book Antiqua" w:cs="Arial"/>
          <w:sz w:val="24"/>
          <w:szCs w:val="24"/>
        </w:rPr>
        <w:lastRenderedPageBreak/>
        <w:t>merekam kesan-kesan dari luar yang tertangkap oleh indera, sehingga dalam pandangnnya semua pengetahuan manusia bersumber dari pengalaman empiris inderawi yang dibantu oleh akal hingga menghasilkan ilmu pengetahuan.</w:t>
      </w:r>
      <w:r w:rsidRPr="002B0EFC">
        <w:rPr>
          <w:rFonts w:ascii="Book Antiqua" w:eastAsia="Calibri" w:hAnsi="Book Antiqua" w:cs="Arial"/>
          <w:sz w:val="24"/>
          <w:szCs w:val="24"/>
          <w:vertAlign w:val="superscript"/>
        </w:rPr>
        <w:footnoteReference w:id="319"/>
      </w:r>
      <w:r w:rsidRPr="002B0EFC">
        <w:rPr>
          <w:rFonts w:ascii="Book Antiqua" w:eastAsia="Calibri" w:hAnsi="Book Antiqua" w:cs="Arial"/>
          <w:sz w:val="24"/>
          <w:szCs w:val="24"/>
        </w:rPr>
        <w:t xml:space="preserve">Teori </w:t>
      </w:r>
      <w:r w:rsidRPr="002B0EFC">
        <w:rPr>
          <w:rFonts w:ascii="Book Antiqua" w:eastAsia="Calibri" w:hAnsi="Book Antiqua" w:cs="Arial"/>
          <w:i/>
          <w:sz w:val="24"/>
          <w:szCs w:val="24"/>
        </w:rPr>
        <w:t>tabula rasa</w:t>
      </w:r>
      <w:r w:rsidRPr="002B0EFC">
        <w:rPr>
          <w:rFonts w:ascii="Book Antiqua" w:eastAsia="Calibri" w:hAnsi="Book Antiqua" w:cs="Arial"/>
          <w:sz w:val="24"/>
          <w:szCs w:val="24"/>
        </w:rPr>
        <w:t xml:space="preserve"> yang dikemukakan John Locke pada prinsipnya mungkin memiliki kesamaan dengan kaidah-kaidah penggunaan indera sebagai sarana penalaran untuk mengembangkan epistemologi mahzab sejarah hukum. Realitas empiris hukum yang bersifat khusus dan telah terjadi dalam kehidupan sosial masyarakat semakin lama akan bertambah banyak dan menjadi fakta-fakta hukum yang jika ditarik kesimpulan akan menghasilkan sebuah realitas hukum bersifat umum, sehingga dari situ dapat memberikan pengetahuan hukum yang dapat digeneralisir kebenarannya. Pandangan terhadap hal ini didukung oleh sifat lahiriah manusia yang memiliki kecenderungan untuk meniru sesuatu yang berwujud dan membuat kesesuaian dengan realitas semakin besar.</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Secara struktural dapat dijelaskan bahwa e</w:t>
      </w:r>
      <w:r w:rsidRPr="002B0EFC">
        <w:rPr>
          <w:rFonts w:ascii="Book Antiqua" w:eastAsia="Calibri" w:hAnsi="Book Antiqua" w:cs="Arial"/>
          <w:sz w:val="24"/>
          <w:szCs w:val="24"/>
        </w:rPr>
        <w:t>pistemologi ilmu pengetahuan yang dikembangkan dengan sarana penalaran indera memperoleh pengetahuan yang benar melalui metode induktif seperti dikemukakan oleh Francis Bacon,</w:t>
      </w:r>
      <w:r w:rsidRPr="002B0EFC">
        <w:rPr>
          <w:rFonts w:ascii="Book Antiqua" w:eastAsia="Calibri" w:hAnsi="Book Antiqua" w:cs="Arial"/>
          <w:sz w:val="24"/>
          <w:szCs w:val="24"/>
          <w:vertAlign w:val="superscript"/>
        </w:rPr>
        <w:footnoteReference w:id="320"/>
      </w:r>
      <w:r w:rsidRPr="002B0EFC">
        <w:rPr>
          <w:rFonts w:ascii="Book Antiqua" w:eastAsia="Calibri" w:hAnsi="Book Antiqua" w:cs="Arial"/>
          <w:sz w:val="24"/>
          <w:szCs w:val="24"/>
        </w:rPr>
        <w:t xml:space="preserve"> yaitu dengan cara menarik satu kesimpulan dari berbagai kasus nyata yang bersifat khusus menjadi satu kesimpulan yang bersifat umum.</w:t>
      </w:r>
      <w:r w:rsidRPr="002B0EFC">
        <w:rPr>
          <w:rFonts w:ascii="Book Antiqua" w:eastAsia="Calibri" w:hAnsi="Book Antiqua" w:cs="Arial"/>
          <w:sz w:val="24"/>
          <w:szCs w:val="24"/>
          <w:vertAlign w:val="superscript"/>
        </w:rPr>
        <w:footnoteReference w:id="321"/>
      </w:r>
      <w:r w:rsidRPr="002B0EFC">
        <w:rPr>
          <w:rFonts w:ascii="Book Antiqua" w:eastAsia="Calibri" w:hAnsi="Book Antiqua" w:cs="Arial"/>
          <w:sz w:val="24"/>
          <w:szCs w:val="24"/>
        </w:rPr>
        <w:t>Peran dan fungsi indera secara struktur tersebut sesuai dengan perintah Tuhan yang terdapat dalam Q.S Al `Araf ayat 185;</w:t>
      </w:r>
    </w:p>
    <w:p w:rsidR="00346169" w:rsidRPr="002B0EFC"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“Dan apakah mereka tidak memperhatikan kerajaan langit dan bumi dan segala sesuatu yang diciptakan Allah, dan kemungkinan telah dekatnya kebinasaan mereka? Maka kepada berita manakah lagi mereka akan beriman sesudah al-Qur’an itu.”</w:t>
      </w:r>
    </w:p>
    <w:p w:rsidR="00346169" w:rsidRPr="002B0EFC" w:rsidRDefault="00346169" w:rsidP="002B0EFC">
      <w:pPr>
        <w:tabs>
          <w:tab w:val="left" w:pos="2268"/>
        </w:tabs>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 xml:space="preserve">Dalam ayat tersebut telah dijelaskan, bahwa manusia untuk menggunakan inderanya dalam melihat realitas nyata bersifat lahiriah sebagai bentuk kebesaran cipataan Tuhan bagi manusia agar mendapat keselamatan-Nya. Indera manusia sebagai anugerah Tuhan menjadi sarana penalaran untuk mengembangkan epistemologipengetahuan yang benar dari realitas nyata empiris yang bersifat </w:t>
      </w:r>
      <w:r w:rsidRPr="002B0EFC">
        <w:rPr>
          <w:rFonts w:ascii="Book Antiqua" w:eastAsia="Calibri" w:hAnsi="Book Antiqua" w:cs="Arial"/>
          <w:sz w:val="24"/>
          <w:szCs w:val="24"/>
        </w:rPr>
        <w:lastRenderedPageBreak/>
        <w:t>lahiriah pada dasarnya telah banyak disebutkan dalam al-Quran.</w:t>
      </w:r>
      <w:r w:rsidRPr="002B0EFC">
        <w:rPr>
          <w:rStyle w:val="FootnoteReference"/>
          <w:rFonts w:ascii="Book Antiqua" w:eastAsia="Calibri" w:hAnsi="Book Antiqua" w:cs="Arial"/>
          <w:sz w:val="24"/>
          <w:szCs w:val="24"/>
        </w:rPr>
        <w:footnoteReference w:id="322"/>
      </w:r>
      <w:r w:rsidRPr="002B0EFC">
        <w:rPr>
          <w:rFonts w:ascii="Book Antiqua" w:eastAsia="Calibri" w:hAnsi="Book Antiqua" w:cs="Arial"/>
          <w:sz w:val="24"/>
          <w:szCs w:val="24"/>
        </w:rPr>
        <w:t xml:space="preserve">Telah banyak juga filsuf yang menggunakan peran dan fungsi indera sebagai sarana penalaran untuk mengembangkan epistemologi dengan melakukan observasi terhadap objek yang dapat ditangkap secara lahiriah, dalam Islam seperti; </w:t>
      </w:r>
      <w:r w:rsidRPr="002B0EFC">
        <w:rPr>
          <w:rFonts w:ascii="Book Antiqua" w:eastAsia="Times New Roman" w:hAnsi="Book Antiqua" w:cs="Arial"/>
          <w:sz w:val="24"/>
          <w:szCs w:val="24"/>
        </w:rPr>
        <w:t>al-Kindi melakukan observasi di laboratoriumnya, Nashir al-Din al-Thusi melakukan observasi astronomi dan Ibn Haitsam melakukan observasi bidang optik dan al-Manazir melakukan observasi terkait dengan mata yang dapat melihat karena ada cahaya.</w:t>
      </w:r>
      <w:r w:rsidRPr="002B0EFC">
        <w:rPr>
          <w:rStyle w:val="FootnoteReference"/>
          <w:rFonts w:ascii="Book Antiqua" w:eastAsia="Times New Roman" w:hAnsi="Book Antiqua" w:cs="Arial"/>
          <w:sz w:val="24"/>
          <w:szCs w:val="24"/>
        </w:rPr>
        <w:footnoteReference w:id="323"/>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Indera dalam struktur pandangan mahzab sejarah hukum menempatkan kebenaran terhadap hal-hal yang didasarkan pada pengalaman empiris, seperti melihat hukum sebagai tradisi kebiasaan masyarakat. Cara pandang hukum secara empirismenurut Gary Lawson merupakan bentuk dari pengembangan teori orisinalitas hukum, karena melihat realitas hukum secara nyata dalam kehidupan masyarakat.</w:t>
      </w:r>
      <w:r w:rsidRPr="002B0EFC">
        <w:rPr>
          <w:rStyle w:val="FootnoteReference"/>
          <w:rFonts w:ascii="Book Antiqua" w:eastAsia="Times New Roman" w:hAnsi="Book Antiqua" w:cs="Arial"/>
          <w:sz w:val="24"/>
          <w:szCs w:val="24"/>
        </w:rPr>
        <w:footnoteReference w:id="324"/>
      </w:r>
      <w:r w:rsidRPr="002B0EFC">
        <w:rPr>
          <w:rFonts w:ascii="Book Antiqua" w:eastAsia="Times New Roman" w:hAnsi="Book Antiqua" w:cs="Arial"/>
          <w:sz w:val="24"/>
          <w:szCs w:val="24"/>
        </w:rPr>
        <w:t xml:space="preserve"> Indera sebagai sarana penalaran untuk mengembangkan epistemologi yang bersifat empiris merupakan dasar dari pemikiran yang berusahamemahami hukum dan masyarakat, karena hukum dapat berpengaruh dan dipengaruhi oleh keadaan masyarakat. Struktur hukum sebagai realitas empirisakan selalu menyesuaikan diri dengan masyarakat. Memandang hukum sebagai realitas empiris di masyarakat, sebagaimana telah disinggung dalam kerangka teori di depan, menjadi cirikhas utama dalam mahzab sejarah hukum. Sebagai teori hukum, mahzab sejarah hukum memberi pengaruh kuat terhadap hukum yang menekankan perhatiannya pada pergaulan hidup di masyarakat.Mahzab sejarah hukum cenderung untuk mengarahkan perhatiannya pada hukum yang ada di masyarakat dalam bentuk tradisi kebiasaan, adat istiadat dan budaya.</w:t>
      </w:r>
      <w:r w:rsidRPr="002B0EFC">
        <w:rPr>
          <w:rStyle w:val="FootnoteReference"/>
          <w:rFonts w:ascii="Book Antiqua" w:eastAsia="Times New Roman" w:hAnsi="Book Antiqua" w:cs="Arial"/>
          <w:sz w:val="24"/>
          <w:szCs w:val="24"/>
        </w:rPr>
        <w:footnoteReference w:id="325"/>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Formasi dan struktur indera dalam ilmu hukum dapat menghasilkan beberapa varian, diantaranya adalah mahzab sejarah hukum yang mengkaji hukum sebagai hasil pergaulan hidup di masyarakat yang berupa tradisi kebiasaan. Hukum </w:t>
      </w:r>
      <w:r w:rsidRPr="002B0EFC">
        <w:rPr>
          <w:rFonts w:ascii="Book Antiqua" w:eastAsia="Calibri" w:hAnsi="Book Antiqua" w:cs="Arial"/>
          <w:sz w:val="24"/>
          <w:szCs w:val="24"/>
        </w:rPr>
        <w:lastRenderedPageBreak/>
        <w:t>dipandang sebagai jejak kehidupan masyarakat yang secara empiris telah terjadi.</w:t>
      </w:r>
      <w:r w:rsidRPr="002B0EFC">
        <w:rPr>
          <w:rStyle w:val="FootnoteReference"/>
          <w:rFonts w:ascii="Book Antiqua" w:eastAsia="Calibri" w:hAnsi="Book Antiqua" w:cs="Arial"/>
          <w:sz w:val="24"/>
          <w:szCs w:val="24"/>
        </w:rPr>
        <w:footnoteReference w:id="326"/>
      </w:r>
      <w:r w:rsidR="004E75CF">
        <w:rPr>
          <w:rFonts w:ascii="Book Antiqua" w:eastAsia="Calibri" w:hAnsi="Book Antiqua" w:cs="Arial"/>
          <w:sz w:val="24"/>
          <w:szCs w:val="24"/>
        </w:rPr>
        <w:t xml:space="preserve"> </w:t>
      </w:r>
      <w:r w:rsidRPr="002B0EFC">
        <w:rPr>
          <w:rFonts w:ascii="Book Antiqua" w:eastAsia="Calibri" w:hAnsi="Book Antiqua" w:cs="Arial"/>
          <w:sz w:val="24"/>
          <w:szCs w:val="24"/>
        </w:rPr>
        <w:t>Mahzab sejarah hukum menolak hukum dalam sistem norma positif yang berupa peraturan perundang-undangan dan juga menolak hukum yang berupa perasaan dalam hati nurani. Mahzab sejarah hukum yang didukung oleh ilmu sosial dan sejarah dalam perkembangannya dipelopori oleh Friedrich Karl von Savigny.</w:t>
      </w:r>
      <w:r w:rsidRPr="002B0EFC">
        <w:rPr>
          <w:rStyle w:val="FootnoteReference"/>
          <w:rFonts w:ascii="Book Antiqua" w:eastAsia="Times New Roman" w:hAnsi="Book Antiqua" w:cs="Arial"/>
          <w:sz w:val="24"/>
          <w:szCs w:val="24"/>
        </w:rPr>
        <w:footnoteReference w:id="327"/>
      </w:r>
      <w:r w:rsidR="004E75CF">
        <w:rPr>
          <w:rFonts w:ascii="Book Antiqua" w:eastAsia="Calibri" w:hAnsi="Book Antiqua" w:cs="Arial"/>
          <w:sz w:val="24"/>
          <w:szCs w:val="24"/>
        </w:rPr>
        <w:t xml:space="preserve"> </w:t>
      </w:r>
      <w:r w:rsidRPr="002B0EFC">
        <w:rPr>
          <w:rFonts w:ascii="Book Antiqua" w:eastAsia="Calibri" w:hAnsi="Book Antiqua" w:cs="Arial"/>
          <w:sz w:val="24"/>
          <w:szCs w:val="24"/>
        </w:rPr>
        <w:t>Indera dalam mahzab sejarah hukum hadir dengan mengusung cara pandang hukum yang lebih bersifat empiris, sehingga terhadapnya harus dapat dilihat secara nyata dan konkrit. Perkembangan masyarakat yang terus berjalan harus diikuti dengan perubahan-perubahan hukum sesuai dengan dinamika yang ada. Mahzab sejarah hukum hadir sebagai jawaban atas permasalahan hukum dengan cara pandang hukum yang bersifat empiris dalam pergaulan hidup di masyarakat.</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2). Formasi dan struktur akal dalam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Akal seperti telah dijelaskan di atas lebih cenderung untuk memiliki kedudukan sebagai sarana penalaran untuk mengembangkan epistemologi ilmu pengetahuan yang bersifat lahir, karena berkaitan dengan cara kerja akal sebagai anggota tubuh manusia yang bersifat fisik dan akal merupakan instrumen yang memiliki peran untuk memahami kebenaran dari ide-ide bersifat abstrak dari objek realitas konkrit dan nyata yang tertangkap oleh indera. Kedudukan dan peran akal terkait dengan objek yang bersifat lahiriah seperti dikemukakan </w:t>
      </w:r>
      <w:r w:rsidRPr="002B0EFC">
        <w:rPr>
          <w:rFonts w:ascii="Book Antiqua" w:eastAsia="Times New Roman" w:hAnsi="Book Antiqua" w:cs="Arial"/>
          <w:sz w:val="24"/>
          <w:szCs w:val="24"/>
        </w:rPr>
        <w:t>Ibn Rusyd. Ilmu pengetahuan menurutnya adalah pengenalan tentang objek berkaitan dengan sebab dan prinsip yang melingkupinya. Objek pengetahuan dapat berupa objek rasional yang merupakan substansi dari objek inderawi, yaitu esensi dan bentuk-bentuknya.</w:t>
      </w:r>
      <w:r w:rsidRPr="002B0EFC">
        <w:rPr>
          <w:rStyle w:val="FootnoteReference"/>
          <w:rFonts w:ascii="Book Antiqua" w:eastAsia="Times New Roman" w:hAnsi="Book Antiqua" w:cs="Arial"/>
          <w:sz w:val="24"/>
          <w:szCs w:val="24"/>
        </w:rPr>
        <w:footnoteReference w:id="328"/>
      </w:r>
      <w:r w:rsidRPr="002B0EFC">
        <w:rPr>
          <w:rFonts w:ascii="Book Antiqua" w:eastAsia="Calibri" w:hAnsi="Book Antiqua" w:cs="Arial"/>
          <w:sz w:val="24"/>
          <w:szCs w:val="24"/>
        </w:rPr>
        <w:t>Kedudukandan peran akal sebagai sarana penalaran untuk utama mengembangkan epistemologi ilmu pengetahuan tersebut sesuai dengan Q.S al-Rad ayat 4;</w:t>
      </w:r>
    </w:p>
    <w:p w:rsidR="00346169" w:rsidRPr="004E75CF"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 xml:space="preserve">“Dan di bumi ini terdapat bagian-bagian yang berdampingan, dan kebun-kebun anggur, tanaman-tanaman dan pohon korma yang bercabang dan yang tidak bercabang, disirami dengan air yang sama. Kami melebihkan sebahagian tanam-tanaman itu atas sebahagian </w:t>
      </w:r>
      <w:r w:rsidRPr="002B0EFC">
        <w:rPr>
          <w:rFonts w:ascii="Book Antiqua" w:eastAsia="Calibri" w:hAnsi="Book Antiqua" w:cs="Arial"/>
          <w:i/>
          <w:sz w:val="24"/>
          <w:szCs w:val="24"/>
        </w:rPr>
        <w:lastRenderedPageBreak/>
        <w:t>yang lain tentang rasanya. Sesungguhnya pada yang demikian itu terdapat tanda-tanda (kebesaran Allah) bagi kaum yang berfikir”.</w:t>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eastAsia="Calibri" w:hAnsi="Book Antiqua" w:cs="Arial"/>
          <w:sz w:val="24"/>
          <w:szCs w:val="24"/>
        </w:rPr>
        <w:t>Akal seperti telah dijelaskan dalam ayat tersebut dapat digunakan manusia untuk berfikir dari apa yang dilihatnya secara lahiriah atas segala sesuatu yang telah diciptakan Tuhan. Dalam hal ini, akal tidak hanya melihat realitas nyata dalam bentuk fisik lahiriah secara konkrit, tetapi akal dapat menggali pengetahuan dibalik realitas tersebut dengan cara berpikir. Akal menurut kaum rasionalism mampu menghasilkan suatu kebenaran yang bersifat objektif dan pasti. Pernyataannya tentang hukum-hukum logika berhasil mengukuhkan dominasi peran dan fungsi akal dalam ilmu pengetahuan. Kebenaran dalam e</w:t>
      </w:r>
      <w:r w:rsidRPr="002B0EFC">
        <w:rPr>
          <w:rFonts w:ascii="Book Antiqua" w:hAnsi="Book Antiqua" w:cs="Arial"/>
          <w:sz w:val="24"/>
          <w:szCs w:val="24"/>
        </w:rPr>
        <w:t>pistemologi ilmu pengetahuan yang dikembangkan dengan sarana penalaran akal adalah segala sesuatu yang dapat diterima secara logika.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hAnsi="Book Antiqua" w:cs="Arial"/>
          <w:sz w:val="24"/>
          <w:szCs w:val="24"/>
        </w:rPr>
        <w:t>Dalam ilmu hukum yang menggunakan sarana penalaran akal dalam mengembangkan epistemologinya memiliki pemahaman, bahwa hanya kaidah-kaidah hukum yang terbangun dengan memenuhi syarat logis saja yang disebut sebagai hukum yang benar, karena yang menjadi tujuan utama hukum adalah mencapai kepastian.</w:t>
      </w:r>
      <w:r w:rsidRPr="002B0EFC">
        <w:rPr>
          <w:rStyle w:val="FootnoteReference"/>
          <w:rFonts w:ascii="Book Antiqua" w:eastAsia="Calibri" w:hAnsi="Book Antiqua" w:cs="Arial"/>
          <w:sz w:val="24"/>
          <w:szCs w:val="24"/>
        </w:rPr>
        <w:footnoteReference w:id="329"/>
      </w:r>
      <w:r w:rsidRPr="002B0EFC">
        <w:rPr>
          <w:rFonts w:ascii="Book Antiqua" w:hAnsi="Book Antiqua" w:cs="Arial"/>
          <w:sz w:val="24"/>
          <w:szCs w:val="24"/>
        </w:rPr>
        <w:t>I</w:t>
      </w:r>
      <w:r w:rsidRPr="002B0EFC">
        <w:rPr>
          <w:rFonts w:ascii="Book Antiqua" w:eastAsia="Calibri" w:hAnsi="Book Antiqua" w:cs="Arial"/>
          <w:sz w:val="24"/>
          <w:szCs w:val="24"/>
        </w:rPr>
        <w:t>de-ide abstrak menurut kaum rasionalis merupakan hasil karya akal manusia setelah mendapat input dari objek lahiriah yang dilihatnya. Akal sebagai sarana penalaran untuk mengembangkan epistemologi memiliki kedudukan dan peran penting dalam kehidupan manusia, karena akal diciptakan oleh Tuhan untuk manusia dalam memahami sesuatu hal yang belum dipahami.Akal oleh beberapa filsuf, seperti Ibnu Bajjah dan al-Kindi, dipahami memiliki kedudukan yang lebih tinggi, karenadapat menghasilkan logika rasional untuk memperoleh kebenaran. Pengetahuan yang paling tinggi dan benar menurut Ibn Bajjah adalah akal yang terbebas dari unsur-unsur material.</w:t>
      </w:r>
      <w:r w:rsidRPr="002B0EFC">
        <w:rPr>
          <w:rStyle w:val="FootnoteReference"/>
          <w:rFonts w:ascii="Book Antiqua" w:eastAsia="Calibri" w:hAnsi="Book Antiqua" w:cs="Arial"/>
          <w:sz w:val="24"/>
          <w:szCs w:val="24"/>
        </w:rPr>
        <w:footnoteReference w:id="330"/>
      </w:r>
      <w:r w:rsidRPr="002B0EFC">
        <w:rPr>
          <w:rFonts w:ascii="Book Antiqua" w:eastAsia="Calibri" w:hAnsi="Book Antiqua" w:cs="Arial"/>
          <w:sz w:val="24"/>
          <w:szCs w:val="24"/>
        </w:rPr>
        <w:t>Mengkaji tentang kegunaan akal sesuai dengan Q.S Al-Maidah ayat 58;</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w:t>
      </w:r>
      <w:r w:rsidRPr="002B0EFC">
        <w:rPr>
          <w:rFonts w:ascii="Book Antiqua" w:eastAsia="Calibri" w:hAnsi="Book Antiqua" w:cs="Arial"/>
          <w:i/>
          <w:sz w:val="24"/>
          <w:szCs w:val="24"/>
        </w:rPr>
        <w:t>Dan apabila kamu menyeru (mereka) untuk (mengerjakan) sembahyang, mereka menjadikannya buah ejekan dan permainan. Yang demikian itu adalah karena mereka benar-benar kaum yang tidak mau mempergunakan akal”</w:t>
      </w:r>
      <w:r w:rsidRPr="002B0EFC">
        <w:rPr>
          <w:rFonts w:ascii="Book Antiqua" w:eastAsia="Calibri" w:hAnsi="Book Antiqua" w:cs="Arial"/>
          <w:sz w:val="24"/>
          <w:szCs w:val="24"/>
        </w:rPr>
        <w:t>.</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lastRenderedPageBreak/>
        <w:t>Akal sebagai anugerah Tuhan menjadi sarana penalaran untuk mengembangkan epistemologi dalam menggali dan memperoleh pengetahuan yang benar dari cara berpikir rasional yang bersifat lahiriah objektif pada dasarnya telah banyak disebutkan dalam al-Quran.</w:t>
      </w:r>
      <w:r w:rsidRPr="002B0EFC">
        <w:rPr>
          <w:rStyle w:val="FootnoteReference"/>
          <w:rFonts w:ascii="Book Antiqua" w:eastAsia="Calibri" w:hAnsi="Book Antiqua" w:cs="Arial"/>
          <w:sz w:val="24"/>
          <w:szCs w:val="24"/>
        </w:rPr>
        <w:footnoteReference w:id="331"/>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Calibri" w:hAnsi="Book Antiqua" w:cs="Arial"/>
          <w:sz w:val="24"/>
          <w:szCs w:val="24"/>
        </w:rPr>
        <w:t xml:space="preserve">Kedudukan akal sebagai sarana penalaran untuk mengembangkan epistemologi ilmu hukum yang bersifat objektif dan pasti dalam </w:t>
      </w:r>
      <w:r w:rsidRPr="002B0EFC">
        <w:rPr>
          <w:rFonts w:ascii="Book Antiqua" w:eastAsia="Times New Roman" w:hAnsi="Book Antiqua" w:cs="Arial"/>
          <w:sz w:val="24"/>
          <w:szCs w:val="24"/>
        </w:rPr>
        <w:t>sistem norma hukum positif tidak lepas dari pengaruh pemikiran August Comte yang membagi tahap perkembangan peradaban pengetahuan manusia dibagi menjadi tiga. Positif sebagai tahap ketiga dan terakhir menurut Comte yang menuntun perkembangan ilmu pengetahuan manusia untuk dapat dilakukan dengan pengujian positif secara ilmiah terhadap semua yang digunakan dalam proses verifikasi yang objektif. Pada tahap inilah ilmu pengetahuan tidak hanya menjelaskan sesuatu yang konkrit, tapi juga telah memiliki nilai kebenaran yang bersifat objektif dan pasti.</w:t>
      </w:r>
      <w:r w:rsidRPr="002B0EFC">
        <w:rPr>
          <w:rStyle w:val="FootnoteReference"/>
          <w:rFonts w:ascii="Book Antiqua" w:eastAsia="Times New Roman" w:hAnsi="Book Antiqua" w:cs="Arial"/>
          <w:sz w:val="24"/>
          <w:szCs w:val="24"/>
        </w:rPr>
        <w:footnoteReference w:id="332"/>
      </w:r>
      <w:r w:rsidRPr="002B0EFC">
        <w:rPr>
          <w:rFonts w:ascii="Book Antiqua" w:eastAsia="Times New Roman" w:hAnsi="Book Antiqua" w:cs="Arial"/>
          <w:sz w:val="24"/>
          <w:szCs w:val="24"/>
        </w:rPr>
        <w:t xml:space="preserve"> Metode ilmiah dalam pembuktian kebenaran ilmu pengetahuan dalam hal ini lebih cenderung pada penggunaan logika akal secara rasional. Pemahaman tersebut akhirnya menjadi paradigma rasional yang mampu menghegemoni hampir diseluruh bidang kehidupan manusia dan menjadikan akal sebagai kekuatan yang dapat dibuktikan dan dipertanggungjawabkan secara objektif dan ilmiah. Hal ini turut menggoda hukum untuk melakukan hal yang sama, yaitu dengan mempositifkan pemahaman tentang hukum ke dalam bentuk sistem norma hukum positif yang bersifat tertutup dalam peraturan perundang-undangan. Menurut Henry Prakken &amp; Giovanni Sartor, hukum dengan ini telah memiliki sistem penalaran secara logika rasional dalam menentukan nilai kebenaran objektif yang dimaksud.</w:t>
      </w:r>
      <w:r w:rsidRPr="002B0EFC">
        <w:rPr>
          <w:rStyle w:val="FootnoteReference"/>
          <w:rFonts w:ascii="Book Antiqua" w:eastAsia="Times New Roman" w:hAnsi="Book Antiqua" w:cs="Arial"/>
          <w:sz w:val="24"/>
          <w:szCs w:val="24"/>
        </w:rPr>
        <w:footnoteReference w:id="333"/>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eastAsia="Times New Roman" w:hAnsi="Book Antiqua" w:cs="Arial"/>
          <w:sz w:val="24"/>
          <w:szCs w:val="24"/>
        </w:rPr>
        <w:t>A</w:t>
      </w:r>
      <w:r w:rsidRPr="002B0EFC">
        <w:rPr>
          <w:rFonts w:ascii="Book Antiqua" w:eastAsia="Calibri" w:hAnsi="Book Antiqua" w:cs="Arial"/>
          <w:sz w:val="24"/>
          <w:szCs w:val="24"/>
        </w:rPr>
        <w:t xml:space="preserve">kal menurut pemahaman al-Farabi yang dikutib oleh al-Jabiri dan Bertrand Russelsecara struktural memiliki peran dan fungsi untuk memperoleh pengetahuan yang benar dengan metode deduktif, yaitu </w:t>
      </w:r>
      <w:r w:rsidRPr="002B0EFC">
        <w:rPr>
          <w:rFonts w:ascii="Book Antiqua" w:hAnsi="Book Antiqua" w:cs="Arial"/>
          <w:sz w:val="24"/>
          <w:szCs w:val="24"/>
        </w:rPr>
        <w:t xml:space="preserve">suatu cara berpikir dengan menarik </w:t>
      </w:r>
      <w:r w:rsidRPr="002B0EFC">
        <w:rPr>
          <w:rFonts w:ascii="Book Antiqua" w:hAnsi="Book Antiqua" w:cs="Arial"/>
          <w:sz w:val="24"/>
          <w:szCs w:val="24"/>
        </w:rPr>
        <w:lastRenderedPageBreak/>
        <w:t>kesimpulan dari pernyataan umum kepada hal-hal yang bersifat khusus.</w:t>
      </w:r>
      <w:r w:rsidRPr="002B0EFC">
        <w:rPr>
          <w:rFonts w:ascii="Book Antiqua" w:eastAsia="Calibri" w:hAnsi="Book Antiqua" w:cs="Arial"/>
          <w:sz w:val="24"/>
          <w:szCs w:val="24"/>
          <w:vertAlign w:val="superscript"/>
        </w:rPr>
        <w:footnoteReference w:id="334"/>
      </w:r>
      <w:r w:rsidRPr="002B0EFC">
        <w:rPr>
          <w:rFonts w:ascii="Book Antiqua" w:hAnsi="Book Antiqua" w:cs="Arial"/>
          <w:sz w:val="24"/>
          <w:szCs w:val="24"/>
        </w:rPr>
        <w:t>Peran dan fungsi akal sebagai sarana penalaran untuk mengembangkan epistemologi ilmu pengetahuan pada tahap awal, pada dasarnya juga tergantung dari realitas nyata yang secara fisik tertangkap oleh indera. Cara pemahaman akal tersebut seperti telah dijelaskan dalam Q.S Al-Baqarah ayat 164;</w:t>
      </w:r>
    </w:p>
    <w:p w:rsidR="00346169" w:rsidRPr="002B0EFC" w:rsidRDefault="00346169" w:rsidP="002B0EFC">
      <w:pPr>
        <w:spacing w:after="0" w:line="360" w:lineRule="auto"/>
        <w:jc w:val="both"/>
        <w:rPr>
          <w:rFonts w:ascii="Book Antiqua" w:hAnsi="Book Antiqua" w:cs="Arial"/>
          <w:sz w:val="24"/>
          <w:szCs w:val="24"/>
        </w:rPr>
      </w:pPr>
      <w:r w:rsidRPr="002B0EFC">
        <w:rPr>
          <w:rFonts w:ascii="Book Antiqua" w:hAnsi="Book Antiqua" w:cs="Arial"/>
          <w:i/>
          <w:sz w:val="24"/>
          <w:szCs w:val="24"/>
        </w:rPr>
        <w:t>“Sesungguhnya dalam penciptaan langit dan bumi, silih bergantinya malam dan siang, bahtera yang berlayar di laut membawa apa yang berguna bagi manusia, dan apa yang Allah turunkan dari langit berupa air, lalu dengan air itu Dia hidupkan bumi sesudah mati (kering)-nya dan Dia sebarkan di bumi itu segala jenis hewan, dan pengisaran angin dan awan yang dikendalikan antara langit dan bumi; sungguh (terdapat) tanda-tanda (keesaan dan kebesaran Allah) bagi kaum yang memikirkan”</w:t>
      </w:r>
      <w:r w:rsidRPr="002B0EFC">
        <w:rPr>
          <w:rFonts w:ascii="Book Antiqua" w:hAnsi="Book Antiqua" w:cs="Arial"/>
          <w:sz w:val="24"/>
          <w:szCs w:val="24"/>
        </w:rPr>
        <w:t>.</w:t>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hAnsi="Book Antiqua" w:cs="Arial"/>
          <w:sz w:val="24"/>
          <w:szCs w:val="24"/>
        </w:rPr>
        <w:t>Ayat tersebut telah menjelaskan bagaimana peran dan fungsi akal manusia untuk memahami segala realitas ciptaan Tuhan yang ada di duniauntuk kehidupan manusia. Kedudukan a</w:t>
      </w:r>
      <w:r w:rsidRPr="002B0EFC">
        <w:rPr>
          <w:rFonts w:ascii="Book Antiqua" w:eastAsia="Calibri" w:hAnsi="Book Antiqua" w:cs="Arial"/>
          <w:sz w:val="24"/>
          <w:szCs w:val="24"/>
        </w:rPr>
        <w:t xml:space="preserve">kalsangat penting dalam sejarah peradaban ilmu pengetahuan, bahkan filsafat dikatakan lahir dari pemikiran-pemikiran yang diklaim sebagai hasil cara kerjaakal. Formasi dan struktur akal sebagai sarana penalaran untuk mengembangkan epistemologiilmu pengetahuan telah sesuai dengan perintah Tuhan kepada manusia untuk menggunakan akal dalam berpikir dan sekaligusmenjadi kewajiban yang harus dilakukan manusia agar senantiasa menggunakan akalnya untuk berpikir, jika tidak ingin mendapat kemurkaan dari Tuhan, seperti dijelaskan dalam Q.S Yunus ayat 100; </w:t>
      </w:r>
      <w:r w:rsidRPr="002B0EFC">
        <w:rPr>
          <w:rFonts w:ascii="Book Antiqua" w:eastAsia="Calibri" w:hAnsi="Book Antiqua" w:cs="Arial"/>
          <w:i/>
          <w:sz w:val="24"/>
          <w:szCs w:val="24"/>
        </w:rPr>
        <w:t>“Dan tidak ada seorangpun akan beriman kecuali dengan izin Allah; dan Allah menimpakan kemurkaan kepada orang-orang yang tidak mempergunakan akalnya”</w:t>
      </w:r>
      <w:r w:rsidRPr="002B0EFC">
        <w:rPr>
          <w:rFonts w:ascii="Book Antiqua" w:eastAsia="Calibri" w:hAnsi="Book Antiqua" w:cs="Arial"/>
          <w:sz w:val="24"/>
          <w:szCs w:val="24"/>
        </w:rPr>
        <w:t xml:space="preserve">.Menurut kaum rasionalisme, hanya dengan memahami prinsip yang didapat melalui penalaran logikaakal manusia dapat memahami kejadian-kejadian yang bersifat nyata dalam alam sekitar. Cara pandang empirisme dan rasionalisme pada satu sisi memiliki beberapa kesamaan yaitu dengan tetap menganggap objek yang terpisah dari subjek, sehingga terhadap suatu objektivitas dimaknai sebagai upaya untuk mengungkapkan ketersembunyian realitas dari selubungnya dan manusia sebagai subjek yang melakukan aktivitas </w:t>
      </w:r>
      <w:r w:rsidRPr="002B0EFC">
        <w:rPr>
          <w:rFonts w:ascii="Book Antiqua" w:eastAsia="Calibri" w:hAnsi="Book Antiqua" w:cs="Arial"/>
          <w:sz w:val="24"/>
          <w:szCs w:val="24"/>
        </w:rPr>
        <w:lastRenderedPageBreak/>
        <w:t>pencarian kebenaran mempunyai jarak (</w:t>
      </w:r>
      <w:r w:rsidRPr="002B0EFC">
        <w:rPr>
          <w:rFonts w:ascii="Book Antiqua" w:eastAsia="Calibri" w:hAnsi="Book Antiqua" w:cs="Arial"/>
          <w:i/>
          <w:sz w:val="24"/>
          <w:szCs w:val="24"/>
        </w:rPr>
        <w:t>distance</w:t>
      </w:r>
      <w:r w:rsidRPr="002B0EFC">
        <w:rPr>
          <w:rFonts w:ascii="Book Antiqua" w:eastAsia="Calibri" w:hAnsi="Book Antiqua" w:cs="Arial"/>
          <w:sz w:val="24"/>
          <w:szCs w:val="24"/>
        </w:rPr>
        <w:t>) dengan obyek tersebut.</w:t>
      </w:r>
      <w:r w:rsidRPr="002B0EFC">
        <w:rPr>
          <w:rStyle w:val="FootnoteReference"/>
          <w:rFonts w:ascii="Book Antiqua" w:eastAsia="Calibri" w:hAnsi="Book Antiqua" w:cs="Arial"/>
          <w:sz w:val="24"/>
          <w:szCs w:val="24"/>
        </w:rPr>
        <w:footnoteReference w:id="335"/>
      </w:r>
      <w:r w:rsidRPr="002B0EFC">
        <w:rPr>
          <w:rFonts w:ascii="Book Antiqua" w:eastAsia="Calibri" w:hAnsi="Book Antiqua" w:cs="Arial"/>
          <w:sz w:val="24"/>
          <w:szCs w:val="24"/>
        </w:rPr>
        <w:t xml:space="preserve"> Oleh karena itu, instrumen akal dan indera merupakan bagian dari ilmu pengetahuan yang bersifat lahir, karena tidak menyentuh batin hati nurani manusia.</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Akal dalam formasi dan struktur sarana penalaran untuk mengembangkan epistemologi ilmu pengetahuan dapat digunakan untuk menyempurnakan kebenaran yang dihasilkan oleh indera, seperti dikemukakan oleh al-Ghazali. Kebenaran yang tampak nyata secara lahiriah belum tentu suatu kebenaran yang sebenarnya (subtansi), </w:t>
      </w:r>
      <w:r w:rsidRPr="002B0EFC">
        <w:rPr>
          <w:rFonts w:ascii="Book Antiqua" w:eastAsia="Times New Roman" w:hAnsi="Book Antiqua" w:cs="Arial"/>
          <w:sz w:val="24"/>
          <w:szCs w:val="24"/>
        </w:rPr>
        <w:t>seperti pensil yang diletakkan ke dalam gelas air yang tampaknya bengkok, padahal yang sebenarnya adalah pensil tersebut lurus.</w:t>
      </w:r>
      <w:r w:rsidRPr="002B0EFC">
        <w:rPr>
          <w:rStyle w:val="FootnoteReference"/>
          <w:rFonts w:ascii="Book Antiqua" w:eastAsia="Times New Roman" w:hAnsi="Book Antiqua" w:cs="Arial"/>
          <w:sz w:val="24"/>
          <w:szCs w:val="24"/>
        </w:rPr>
        <w:footnoteReference w:id="336"/>
      </w:r>
      <w:r w:rsidRPr="002B0EFC">
        <w:rPr>
          <w:rFonts w:ascii="Book Antiqua" w:eastAsia="Calibri" w:hAnsi="Book Antiqua" w:cs="Arial"/>
          <w:sz w:val="24"/>
          <w:szCs w:val="24"/>
        </w:rPr>
        <w:t xml:space="preserve"> Kebenaran dari realitas nyata yang salah yang ditangkap indera dapat diperbaiki oleh akal dengan berpikir secara rasional. Oleh karena itu, pada pembagian akal pada tingkatan awal menurut </w:t>
      </w:r>
      <w:r w:rsidRPr="002B0EFC">
        <w:rPr>
          <w:rFonts w:ascii="Book Antiqua" w:eastAsia="Times New Roman" w:hAnsi="Book Antiqua" w:cs="Arial"/>
          <w:sz w:val="24"/>
          <w:szCs w:val="24"/>
        </w:rPr>
        <w:t xml:space="preserve">al-Ghazali disebut akal </w:t>
      </w:r>
      <w:r w:rsidRPr="002B0EFC">
        <w:rPr>
          <w:rFonts w:ascii="Book Antiqua" w:eastAsia="Times New Roman" w:hAnsi="Book Antiqua" w:cs="Arial"/>
          <w:i/>
          <w:sz w:val="24"/>
          <w:szCs w:val="24"/>
        </w:rPr>
        <w:t xml:space="preserve">hayulani </w:t>
      </w:r>
      <w:r w:rsidRPr="002B0EFC">
        <w:rPr>
          <w:rFonts w:ascii="Book Antiqua" w:eastAsia="Times New Roman" w:hAnsi="Book Antiqua" w:cs="Arial"/>
          <w:sz w:val="24"/>
          <w:szCs w:val="24"/>
        </w:rPr>
        <w:t>atau akal material, yaitu akal yang berfungsi untuk mengetahui dan memahami realitas materi yang ada secara nyata, maka untuk mendapatkan kebenaran harus melalui indera, karena materi merupakan akal pertama untuk mengetahui lebih lanjut tentang hakikat sesuatu.</w:t>
      </w:r>
      <w:r w:rsidRPr="002B0EFC">
        <w:rPr>
          <w:rStyle w:val="FootnoteReference"/>
          <w:rFonts w:ascii="Book Antiqua" w:eastAsia="Times New Roman" w:hAnsi="Book Antiqua" w:cs="Arial"/>
          <w:sz w:val="24"/>
          <w:szCs w:val="24"/>
        </w:rPr>
        <w:footnoteReference w:id="337"/>
      </w:r>
    </w:p>
    <w:p w:rsidR="00346169" w:rsidRPr="002B0EFC" w:rsidRDefault="00346169" w:rsidP="00B80301">
      <w:pPr>
        <w:spacing w:after="0" w:line="360" w:lineRule="auto"/>
        <w:ind w:firstLine="720"/>
        <w:jc w:val="both"/>
        <w:rPr>
          <w:rFonts w:ascii="Book Antiqua" w:eastAsia="Times New Roman" w:hAnsi="Book Antiqua" w:cs="Arial"/>
          <w:sz w:val="24"/>
          <w:szCs w:val="24"/>
        </w:rPr>
      </w:pPr>
      <w:r w:rsidRPr="002B0EFC">
        <w:rPr>
          <w:rFonts w:ascii="Book Antiqua" w:eastAsia="Calibri" w:hAnsi="Book Antiqua" w:cs="Arial"/>
          <w:sz w:val="24"/>
          <w:szCs w:val="24"/>
        </w:rPr>
        <w:t xml:space="preserve">Formasi dan struktur akal </w:t>
      </w:r>
      <w:r w:rsidRPr="002B0EFC">
        <w:rPr>
          <w:rFonts w:ascii="Book Antiqua" w:eastAsia="Times New Roman" w:hAnsi="Book Antiqua" w:cs="Arial"/>
          <w:sz w:val="24"/>
          <w:szCs w:val="24"/>
        </w:rPr>
        <w:t>dalam ilmu hukum mampu menghasilkan beberapa varian pemikiran hukum, diantaranya teori positivisme hukum yang mengkaji hukum sebagai sistem norma hukum positif dalam peraturan perundang-undangan. Logika dalam positivisme hukum menolak segala bentuk penalaran yang bersifat non-rasional (irasional) yang berada di luar jangkauan analisis logishukum. Positivisme hukum yang didukung oleh aliran positivisme dan paradigma rasionalisme dalam perkembangannya dipelopori oleh John Austin,</w:t>
      </w:r>
      <w:r w:rsidRPr="002B0EFC">
        <w:rPr>
          <w:rStyle w:val="FootnoteReference"/>
          <w:rFonts w:ascii="Book Antiqua" w:eastAsia="Times New Roman" w:hAnsi="Book Antiqua" w:cs="Arial"/>
          <w:sz w:val="24"/>
          <w:szCs w:val="24"/>
        </w:rPr>
        <w:footnoteReference w:id="338"/>
      </w:r>
      <w:r w:rsidRPr="002B0EFC">
        <w:rPr>
          <w:rFonts w:ascii="Book Antiqua" w:eastAsia="Times New Roman" w:hAnsi="Book Antiqua" w:cs="Arial"/>
          <w:sz w:val="24"/>
          <w:szCs w:val="24"/>
        </w:rPr>
        <w:t>H.L.A. Hart,</w:t>
      </w:r>
      <w:r w:rsidRPr="002B0EFC">
        <w:rPr>
          <w:rStyle w:val="FootnoteReference"/>
          <w:rFonts w:ascii="Book Antiqua" w:eastAsia="Times New Roman" w:hAnsi="Book Antiqua" w:cs="Arial"/>
          <w:sz w:val="24"/>
          <w:szCs w:val="24"/>
        </w:rPr>
        <w:footnoteReference w:id="339"/>
      </w:r>
      <w:r w:rsidRPr="002B0EFC">
        <w:rPr>
          <w:rFonts w:ascii="Book Antiqua" w:eastAsia="Times New Roman" w:hAnsi="Book Antiqua" w:cs="Arial"/>
          <w:sz w:val="24"/>
          <w:szCs w:val="24"/>
        </w:rPr>
        <w:t xml:space="preserve"> dan Hans Kelsen.</w:t>
      </w:r>
      <w:r w:rsidRPr="002B0EFC">
        <w:rPr>
          <w:rStyle w:val="FootnoteReference"/>
          <w:rFonts w:ascii="Book Antiqua" w:eastAsia="Times New Roman" w:hAnsi="Book Antiqua" w:cs="Arial"/>
          <w:sz w:val="24"/>
          <w:szCs w:val="24"/>
        </w:rPr>
        <w:footnoteReference w:id="340"/>
      </w:r>
      <w:r w:rsidRPr="002B0EFC">
        <w:rPr>
          <w:rFonts w:ascii="Book Antiqua" w:eastAsia="Times New Roman" w:hAnsi="Book Antiqua" w:cs="Arial"/>
          <w:sz w:val="24"/>
          <w:szCs w:val="24"/>
        </w:rPr>
        <w:t xml:space="preserve"> Akal dalam upaya mengembangkan epistemologi positivisme hukum hadir dengan mengusung pemahaman yang bersifat objektif dan rasional, sehingga hukum dapat dilakukan analisis logis secara ilmiah terhadapnya. Perkembangan zaman yang semakin maju dan lebih modern menuntut peran dan </w:t>
      </w:r>
      <w:r w:rsidRPr="002B0EFC">
        <w:rPr>
          <w:rFonts w:ascii="Book Antiqua" w:eastAsia="Times New Roman" w:hAnsi="Book Antiqua" w:cs="Arial"/>
          <w:sz w:val="24"/>
          <w:szCs w:val="24"/>
        </w:rPr>
        <w:lastRenderedPageBreak/>
        <w:t>fungsi akal secara maksimal untuk mampu melakukan analisis terhadap berbagai permasalahan hukum yang timbul, sehingga positivisme hukum hadir sebagai jawaban atas permasalahan hukum dengan pola pemikiran ilmiah yang bersifat sainstis berusaha untuk mengukuhkan srtuktur cara kerja akal yang dinilai lebih jelas, terukur akurasidan kepastiannya.Penggunaan epistemologi ilmu hukum yang dikembangkan dengan sarana penalaran akal secara rasional dalam perkembangan jaman selanjutnya seperti dikemukakan oleh Thomas B. Nachbar dalam menguji kebenaran hukum positif yang dilakukan secara intelektual logis oleh aparat penegak hukum untuk mencapai tujuan kepastian hukum.</w:t>
      </w:r>
      <w:r w:rsidRPr="002B0EFC">
        <w:rPr>
          <w:rStyle w:val="FootnoteReference"/>
          <w:rFonts w:ascii="Book Antiqua" w:eastAsia="Times New Roman" w:hAnsi="Book Antiqua" w:cs="Arial"/>
          <w:sz w:val="24"/>
          <w:szCs w:val="24"/>
        </w:rPr>
        <w:footnoteReference w:id="341"/>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3). Formasi dan struktur hati nurani dalam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Hati nurani menjadi instrumen yang utama bagi manusia sebelummengenal ilmu pengetahuan yang mampu meningkatkan nilai kegunaan indera dan akal. Perasaan batin dalam hati nurani manusia pada zaman kuno dikatakan lebih diyakini kebenarannya. Hukum yang diyakini kebenarannya adalah suatu ketentuan yang tidak bertentangan dengan perasaan hati nurani, sehingga meskipun secara empiris dan logika rasional benar, belum tentu dapat dibenarkan oleh hati nurani. Hal ini karena hati nuranimerupakan bagian dari ilmu pengetahuan batin yang menganggap objek menjadi satu dengan subjek, sehingga manusia sebagai subyek yang melakukan aktivitas pencarian kebenaran mempunyai keterkaitan hubungan dengan objek.Fenomena permasalahan hukum yang terjadi bukan hanya melangggar paraturan perundang-undangan dan tradisi kebiasaan dalam pergaulan masyarakat, akan tetapi telah melukai perasaan hati nurani. Kasus-kasus tertentu yang bersifat mendasar menyangkut hakikat dalam kehidupan manusia dapat mengusik perasaan hati nurani untuk memberikan tawaran alternatif jalan keluar yang dapat dirasakan lebih murni tanpa ada tendensi kepentingan ideologi tertentu dan memanipulasi dari objek yang dihadirkan untuk menjadi sebuah pemakluman yang bersifat empiris.</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hAnsi="Book Antiqua" w:cs="Arial"/>
          <w:sz w:val="24"/>
          <w:szCs w:val="24"/>
        </w:rPr>
        <w:t>Kedudukan hati nurani s</w:t>
      </w:r>
      <w:r w:rsidRPr="002B0EFC">
        <w:rPr>
          <w:rFonts w:ascii="Book Antiqua" w:eastAsia="Times New Roman" w:hAnsi="Book Antiqua" w:cs="Arial"/>
          <w:sz w:val="24"/>
          <w:szCs w:val="24"/>
        </w:rPr>
        <w:t xml:space="preserve">ebagai sarana penalaran untuk mengembangkan epistemologi pengetahuanmemiliki peran dan fungsi untuk merasakan kebenaran </w:t>
      </w:r>
      <w:r w:rsidRPr="002B0EFC">
        <w:rPr>
          <w:rFonts w:ascii="Book Antiqua" w:eastAsia="Times New Roman" w:hAnsi="Book Antiqua" w:cs="Arial"/>
          <w:sz w:val="24"/>
          <w:szCs w:val="24"/>
        </w:rPr>
        <w:lastRenderedPageBreak/>
        <w:t>yang berada di dalam benak hati nurani manusia yang bersifat batiniah.Hal ini sesuai dengan kedudukan hati nurani sebagai sarana penalaran untuk mengembangkan epistemologi ilmu pengetahuan batin yang mampu merasakan sesuatu yang tidak berwujud, sebagaimana dijelaskan dalam Q.S Al-Anfaal ayat 2-4yang terkait dengan iman kepada Tuhan yang tidak berwujud nyata secara lahiriah:</w:t>
      </w:r>
    </w:p>
    <w:p w:rsidR="00346169" w:rsidRPr="00B80301" w:rsidRDefault="00346169" w:rsidP="002B0EFC">
      <w:pPr>
        <w:spacing w:after="0" w:line="360" w:lineRule="auto"/>
        <w:jc w:val="both"/>
        <w:rPr>
          <w:rFonts w:ascii="Book Antiqua" w:eastAsia="Times New Roman" w:hAnsi="Book Antiqua" w:cs="Arial"/>
          <w:i/>
          <w:sz w:val="24"/>
          <w:szCs w:val="24"/>
        </w:rPr>
      </w:pPr>
      <w:r w:rsidRPr="002B0EFC">
        <w:rPr>
          <w:rFonts w:ascii="Book Antiqua" w:eastAsia="Times New Roman" w:hAnsi="Book Antiqua" w:cs="Arial"/>
          <w:i/>
          <w:sz w:val="24"/>
          <w:szCs w:val="24"/>
        </w:rPr>
        <w:t>“Sesungguhnya orang-orang yang beriman ialah mereka yang bila disebut nama Allah gemetarlah hati mereka, dan apabila dibacakan ayat-ayat-Nya bertambahlah iman mereka (karenanya), dan hanya kepada Tuhanlah mereka bertawakkal. (Yaitu) orang-orang yang mendirikan shalat dan yang menafkahkan sebagian dari rezki yang kami berikan kepada mereka. Itulah orang-orang yang beriman dengan sebenar-benarnya. mereka akan memperoleh beberapa derajat ketinggian di sisi Tuhannya dan ampunan serta rezki (nikmat) yang mulia.”</w:t>
      </w:r>
    </w:p>
    <w:p w:rsidR="00346169" w:rsidRPr="002B0EFC" w:rsidRDefault="00B80301" w:rsidP="002B0EFC">
      <w:pPr>
        <w:spacing w:after="0" w:line="360" w:lineRule="auto"/>
        <w:jc w:val="both"/>
        <w:rPr>
          <w:rFonts w:ascii="Book Antiqua" w:eastAsia="Calibri" w:hAnsi="Book Antiqua" w:cs="Arial"/>
          <w:sz w:val="24"/>
          <w:szCs w:val="24"/>
        </w:rPr>
      </w:pPr>
      <w:r>
        <w:rPr>
          <w:rFonts w:ascii="Book Antiqua" w:eastAsia="Calibri" w:hAnsi="Book Antiqua" w:cs="Arial"/>
          <w:sz w:val="24"/>
          <w:szCs w:val="24"/>
        </w:rPr>
        <w:t xml:space="preserve">          </w:t>
      </w:r>
      <w:r w:rsidR="00346169" w:rsidRPr="002B0EFC">
        <w:rPr>
          <w:rFonts w:ascii="Book Antiqua" w:eastAsia="Calibri" w:hAnsi="Book Antiqua" w:cs="Arial"/>
          <w:sz w:val="24"/>
          <w:szCs w:val="24"/>
        </w:rPr>
        <w:t xml:space="preserve">Kedudukan hati nurani sebagai ilmu pengetahuan batin yang memiliki kedekatan dengan kehidupan Ketuhanan seperti dikemukakan oleh al-Ghazali. </w:t>
      </w:r>
      <w:r w:rsidR="00346169" w:rsidRPr="002B0EFC">
        <w:rPr>
          <w:rFonts w:ascii="Book Antiqua" w:eastAsia="Times New Roman" w:hAnsi="Book Antiqua" w:cs="Times New Roman"/>
          <w:sz w:val="24"/>
          <w:szCs w:val="24"/>
          <w:lang w:eastAsia="en-GB"/>
        </w:rPr>
        <w:t xml:space="preserve">Menurut al-Ghazali sarana mencapai </w:t>
      </w:r>
      <w:r w:rsidR="00346169" w:rsidRPr="002B0EFC">
        <w:rPr>
          <w:rFonts w:ascii="Book Antiqua" w:eastAsia="Times New Roman" w:hAnsi="Book Antiqua" w:cs="Times New Roman"/>
          <w:i/>
          <w:sz w:val="24"/>
          <w:szCs w:val="24"/>
          <w:lang w:eastAsia="en-GB"/>
        </w:rPr>
        <w:t>ma’rifat</w:t>
      </w:r>
      <w:r w:rsidR="00346169" w:rsidRPr="002B0EFC">
        <w:rPr>
          <w:rFonts w:ascii="Book Antiqua" w:eastAsia="Times New Roman" w:hAnsi="Book Antiqua" w:cs="Times New Roman"/>
          <w:sz w:val="24"/>
          <w:szCs w:val="24"/>
          <w:lang w:eastAsia="en-GB"/>
        </w:rPr>
        <w:t>adalah qalbu sebagai percikan ruhaniah Ketuhanan yang merupakanhakikat realitas manusia, bukan dari bagian tubuhyangterletak di sebelah kiri dadamanusia. Qalbubagaikan cermin dan ilmu adalahpantulan gambar realitas yang terdapat di dalamnya, jika cermin qalbutidak bening, maka ia tidak dapat memantulkanrealitas ilmu. Sesuatu yang membuat cermin qalbu tidak bening adalah hawa nafsu yang bersifat lahiriah, sedangkan yang membuat qalbu bening cemerlang adalah ketaatan kepada Tuhan dan keterpalingan dari tuntutan hawanafsu duniawi.</w:t>
      </w:r>
      <w:r w:rsidR="00346169" w:rsidRPr="002B0EFC">
        <w:rPr>
          <w:rStyle w:val="FootnoteReference"/>
          <w:rFonts w:ascii="Book Antiqua" w:eastAsia="Times New Roman" w:hAnsi="Book Antiqua" w:cs="Times New Roman"/>
          <w:sz w:val="24"/>
          <w:szCs w:val="24"/>
          <w:lang w:eastAsia="en-GB"/>
        </w:rPr>
        <w:footnoteReference w:id="342"/>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Nietzsche mengemukakan, </w:t>
      </w:r>
      <w:r w:rsidRPr="002B0EFC">
        <w:rPr>
          <w:rFonts w:ascii="Book Antiqua" w:hAnsi="Book Antiqua" w:cs="Arial"/>
          <w:sz w:val="24"/>
          <w:szCs w:val="24"/>
        </w:rPr>
        <w:t>bahwa memahami kebenaran pengetahuan dengan cara penalaran intuisi hati nurani tidak terjangkau oleh indera dan akal, sehingga intuisi hati nurani diyakini sebagai suatu inteligensi dari kemampuan manusia yang paling tinggi.</w:t>
      </w:r>
      <w:r w:rsidRPr="002B0EFC">
        <w:rPr>
          <w:rStyle w:val="FootnoteReference"/>
          <w:rFonts w:ascii="Book Antiqua" w:hAnsi="Book Antiqua" w:cs="Arial"/>
          <w:sz w:val="24"/>
          <w:szCs w:val="24"/>
        </w:rPr>
        <w:footnoteReference w:id="343"/>
      </w:r>
      <w:r w:rsidR="00B80301">
        <w:rPr>
          <w:rFonts w:ascii="Book Antiqua" w:hAnsi="Book Antiqua" w:cs="Arial"/>
          <w:sz w:val="24"/>
          <w:szCs w:val="24"/>
        </w:rPr>
        <w:t xml:space="preserve"> </w:t>
      </w:r>
      <w:r w:rsidRPr="002B0EFC">
        <w:rPr>
          <w:rFonts w:ascii="Book Antiqua" w:eastAsia="Times New Roman" w:hAnsi="Book Antiqua" w:cs="Arial"/>
          <w:sz w:val="24"/>
          <w:szCs w:val="24"/>
        </w:rPr>
        <w:t>Kedudukan h</w:t>
      </w:r>
      <w:r w:rsidRPr="002B0EFC">
        <w:rPr>
          <w:rFonts w:ascii="Book Antiqua" w:eastAsia="Calibri" w:hAnsi="Book Antiqua" w:cs="Arial"/>
          <w:sz w:val="24"/>
          <w:szCs w:val="24"/>
        </w:rPr>
        <w:t xml:space="preserve">ati nurani sebagai ilmu pengetahuan yang bersifat batiniah dalam ilmu pengetahuan dan termasuk ilmu hukum memiliki catatan tersendiri, karena memiliki pemahaman dari sudut perspektif yang berbeda dan khas.Dikatakan oleh Philip C. Bobbitt, bahwa hati nurani yang merupakan </w:t>
      </w:r>
      <w:r w:rsidRPr="002B0EFC">
        <w:rPr>
          <w:rFonts w:ascii="Book Antiqua" w:eastAsia="Calibri" w:hAnsi="Book Antiqua" w:cs="Arial"/>
          <w:sz w:val="24"/>
          <w:szCs w:val="24"/>
        </w:rPr>
        <w:lastRenderedPageBreak/>
        <w:t>jenius otentik yang sangat berguna dalam pembentukan hukum yang lebih baik.</w:t>
      </w:r>
      <w:r w:rsidRPr="002B0EFC">
        <w:rPr>
          <w:rStyle w:val="FootnoteReference"/>
          <w:rFonts w:ascii="Book Antiqua" w:eastAsia="Calibri" w:hAnsi="Book Antiqua" w:cs="Arial"/>
          <w:sz w:val="24"/>
          <w:szCs w:val="24"/>
        </w:rPr>
        <w:footnoteReference w:id="344"/>
      </w:r>
      <w:r w:rsidRPr="002B0EFC">
        <w:rPr>
          <w:rFonts w:ascii="Book Antiqua" w:eastAsia="Calibri" w:hAnsi="Book Antiqua" w:cs="Arial"/>
          <w:sz w:val="24"/>
          <w:szCs w:val="24"/>
        </w:rPr>
        <w:t>Terhadap semua perbuatan manusia yang secara nyatapada dasarnya mengandung nilai-nilai yang berasal dari perasaan batin hati nurani, meskipun hal itu sering dikesampingkan oleh akal dan indera. Oleh karena itu, penting penggunaan hati nurani dalam memahami hukum.Hati nurani sebagai sarana penalaran dalam mengembangkan epistempologi ilmu hukum tidak dapat dipisahkan dari manusia, karena hanya manusia yang memiliki hati nurani sebagai instrumen yang dikatakan paling tinggi untuk merasakan segala sesuatu yang diyakini baik atau buruk. Hati nurani melalui penelaran intuisi mampu menjangkau kebenaran terdalam yang terdapat dalam benak batin manusia yang tidak dapat dijangkau oleh indera dan akal, bahkan hati nurani sebagai instrumen yang mampu mengkoreksi kebenaran yang dihasilkan dari indera dan akal jika masih mengandung ketidak baikan di dalamnya. Berangkat dari pemahaman ini, maka objek epistemologi ilmu hukum yang dikembangkan dengan sarana penalaran hati nurani pada dasarnya dapat digali dari pergulatan realitas empiris dan logika rasional.</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Hati nurani </w:t>
      </w:r>
      <w:r w:rsidRPr="002B0EFC">
        <w:rPr>
          <w:rFonts w:ascii="Book Antiqua" w:eastAsia="Calibri" w:hAnsi="Book Antiqua" w:cs="Arial"/>
          <w:sz w:val="24"/>
          <w:szCs w:val="24"/>
        </w:rPr>
        <w:t>secara struktural memiliki peran dan fungsi untuk memperoleh pengetahuan yang benar dari perasaan batin yang terdapat dalam benak manusia dengan cara penalaran intuisi, seperti dijelaskan dalam Q.S Al-Hajj. 46:</w:t>
      </w:r>
    </w:p>
    <w:p w:rsidR="00346169" w:rsidRPr="00B80301"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“Maka Apakah mereka tidak berjalan di muka bumi, lalu mereka mempunyai hati yang dengan itu mereka dapat memahami atau mempunyai telinga yang dengan itu mereka dapat mendengar? Karena Sesungguhnya bukanlah mata itu yang buta, tetapi yang buta, ialah hati yang di dalam dada.”</w:t>
      </w:r>
    </w:p>
    <w:p w:rsidR="00346169" w:rsidRPr="002B0EFC" w:rsidRDefault="00B80301" w:rsidP="002B0EFC">
      <w:pPr>
        <w:spacing w:after="0" w:line="360" w:lineRule="auto"/>
        <w:jc w:val="both"/>
        <w:rPr>
          <w:rFonts w:ascii="Book Antiqua" w:eastAsia="Calibri" w:hAnsi="Book Antiqua" w:cs="Arial"/>
          <w:sz w:val="24"/>
          <w:szCs w:val="24"/>
        </w:rPr>
      </w:pPr>
      <w:r>
        <w:rPr>
          <w:rFonts w:ascii="Book Antiqua" w:eastAsia="Calibri" w:hAnsi="Book Antiqua" w:cs="Arial"/>
          <w:sz w:val="24"/>
          <w:szCs w:val="24"/>
        </w:rPr>
        <w:t xml:space="preserve">          </w:t>
      </w:r>
      <w:r w:rsidR="00346169" w:rsidRPr="002B0EFC">
        <w:rPr>
          <w:rFonts w:ascii="Book Antiqua" w:eastAsia="Calibri" w:hAnsi="Book Antiqua" w:cs="Arial"/>
          <w:sz w:val="24"/>
          <w:szCs w:val="24"/>
        </w:rPr>
        <w:t>Hati nurani sebagaimana telah dijelaskan dalam ayat di atas, memiliki struktur untuk memahami sesuatu yang tidak secara lahiriah tertangkap oleh indera dan akal secara objektif. Struktur hati nurani tersebut sekaligus menempatkan formasikedudukan hati nurani sebagai sarana penalaran untuk mengembangkan epistemologi bersifat batin yang hanya dapat dirasakan dalam benak manusia yang lebih dalam tingkatannya daripada indera dan akal. Hati nurani yang memiliki kedudukan dan peran lebih tinggi dari indera dan akal seperti dikemukakan oleh al-</w:t>
      </w:r>
      <w:r w:rsidR="00346169" w:rsidRPr="002B0EFC">
        <w:rPr>
          <w:rFonts w:ascii="Book Antiqua" w:eastAsia="Calibri" w:hAnsi="Book Antiqua" w:cs="Arial"/>
          <w:sz w:val="24"/>
          <w:szCs w:val="24"/>
        </w:rPr>
        <w:lastRenderedPageBreak/>
        <w:t>Ghazali.</w:t>
      </w:r>
      <w:r w:rsidR="00346169" w:rsidRPr="002B0EFC">
        <w:rPr>
          <w:rStyle w:val="FootnoteReference"/>
          <w:rFonts w:ascii="Book Antiqua" w:eastAsia="Calibri" w:hAnsi="Book Antiqua" w:cs="Arial"/>
          <w:sz w:val="24"/>
          <w:szCs w:val="24"/>
        </w:rPr>
        <w:footnoteReference w:id="345"/>
      </w:r>
      <w:r w:rsidR="00346169" w:rsidRPr="002B0EFC">
        <w:rPr>
          <w:rFonts w:ascii="Book Antiqua" w:eastAsia="Calibri" w:hAnsi="Book Antiqua" w:cs="Arial"/>
          <w:sz w:val="24"/>
          <w:szCs w:val="24"/>
        </w:rPr>
        <w:t xml:space="preserve"> Hati nurani sebagai anugerah Tuhan menjadi sarana penalaran untuk mengembangkan epistemologi dalam memperoleh pengetahuan yang benar dengan cara melakukan penalaran intuisi yang bersifat batiniah pada dasarnya telah banyak disebutkan dalam al-Quran.</w:t>
      </w:r>
      <w:r w:rsidR="00346169" w:rsidRPr="002B0EFC">
        <w:rPr>
          <w:rStyle w:val="FootnoteReference"/>
          <w:rFonts w:ascii="Book Antiqua" w:eastAsia="Calibri" w:hAnsi="Book Antiqua" w:cs="Arial"/>
          <w:sz w:val="24"/>
          <w:szCs w:val="24"/>
        </w:rPr>
        <w:footnoteReference w:id="346"/>
      </w:r>
    </w:p>
    <w:p w:rsidR="00346169" w:rsidRPr="002B0EFC" w:rsidRDefault="00346169" w:rsidP="002B0EFC">
      <w:pPr>
        <w:spacing w:after="0" w:line="360" w:lineRule="auto"/>
        <w:jc w:val="both"/>
        <w:rPr>
          <w:rFonts w:ascii="Book Antiqua" w:eastAsia="Calibri" w:hAnsi="Book Antiqua" w:cs="Arial"/>
          <w:sz w:val="24"/>
          <w:szCs w:val="24"/>
        </w:rPr>
      </w:pPr>
      <w:r w:rsidRPr="002B0EFC">
        <w:rPr>
          <w:rFonts w:ascii="Book Antiqua" w:eastAsia="Calibri" w:hAnsi="Book Antiqua" w:cs="Arial"/>
          <w:sz w:val="24"/>
          <w:szCs w:val="24"/>
        </w:rPr>
        <w:tab/>
        <w:t xml:space="preserve">Peran dan fungsi hati nurani secara struktur untuk memperoleh kebenaran ilmu pengetahuan, termasuk dalam ilmu hukum melalui cara penalaran intuisi dalam ajaran Islam dapat dilakukan dengan beberapa tahap. </w:t>
      </w:r>
      <w:r w:rsidRPr="002B0EFC">
        <w:rPr>
          <w:rFonts w:ascii="Book Antiqua" w:eastAsia="Calibri" w:hAnsi="Book Antiqua" w:cs="Arial"/>
          <w:i/>
          <w:sz w:val="24"/>
          <w:szCs w:val="24"/>
        </w:rPr>
        <w:t>Pertama</w:t>
      </w:r>
      <w:r w:rsidRPr="002B0EFC">
        <w:rPr>
          <w:rFonts w:ascii="Book Antiqua" w:eastAsia="Calibri" w:hAnsi="Book Antiqua" w:cs="Arial"/>
          <w:sz w:val="24"/>
          <w:szCs w:val="24"/>
        </w:rPr>
        <w:t xml:space="preserve">, tahap persiapan. Dalam tahap ini seseorang harus melakukan hal-hal yang meliputi: </w:t>
      </w:r>
      <w:r w:rsidRPr="002B0EFC">
        <w:rPr>
          <w:rFonts w:ascii="Book Antiqua" w:eastAsia="Calibri" w:hAnsi="Book Antiqua" w:cs="Arial"/>
          <w:i/>
          <w:sz w:val="24"/>
          <w:szCs w:val="24"/>
        </w:rPr>
        <w:t>taubat</w:t>
      </w:r>
      <w:r w:rsidRPr="002B0EFC">
        <w:rPr>
          <w:rFonts w:ascii="Book Antiqua" w:eastAsia="Calibri" w:hAnsi="Book Antiqua" w:cs="Arial"/>
          <w:sz w:val="24"/>
          <w:szCs w:val="24"/>
        </w:rPr>
        <w:t xml:space="preserve"> (pembersihan dosa dengan meminta ampunanTuhan), </w:t>
      </w:r>
      <w:r w:rsidRPr="002B0EFC">
        <w:rPr>
          <w:rFonts w:ascii="Book Antiqua" w:eastAsia="Calibri" w:hAnsi="Book Antiqua" w:cs="Arial"/>
          <w:i/>
          <w:sz w:val="24"/>
          <w:szCs w:val="24"/>
        </w:rPr>
        <w:t>wara’</w:t>
      </w:r>
      <w:r w:rsidRPr="002B0EFC">
        <w:rPr>
          <w:rFonts w:ascii="Book Antiqua" w:eastAsia="Calibri" w:hAnsi="Book Antiqua" w:cs="Arial"/>
          <w:sz w:val="24"/>
          <w:szCs w:val="24"/>
        </w:rPr>
        <w:t xml:space="preserve"> (menjauhkan dari segala yang tidak jelas statusnya), </w:t>
      </w:r>
      <w:r w:rsidRPr="002B0EFC">
        <w:rPr>
          <w:rFonts w:ascii="Book Antiqua" w:eastAsia="Calibri" w:hAnsi="Book Antiqua" w:cs="Arial"/>
          <w:i/>
          <w:sz w:val="24"/>
          <w:szCs w:val="24"/>
        </w:rPr>
        <w:t xml:space="preserve">zuhud </w:t>
      </w:r>
      <w:r w:rsidRPr="002B0EFC">
        <w:rPr>
          <w:rFonts w:ascii="Book Antiqua" w:eastAsia="Calibri" w:hAnsi="Book Antiqua" w:cs="Arial"/>
          <w:sz w:val="24"/>
          <w:szCs w:val="24"/>
        </w:rPr>
        <w:t xml:space="preserve">(tidak tamak dalam kehidupan), </w:t>
      </w:r>
      <w:r w:rsidRPr="002B0EFC">
        <w:rPr>
          <w:rFonts w:ascii="Book Antiqua" w:eastAsia="Calibri" w:hAnsi="Book Antiqua" w:cs="Arial"/>
          <w:i/>
          <w:sz w:val="24"/>
          <w:szCs w:val="24"/>
        </w:rPr>
        <w:t>fakir</w:t>
      </w:r>
      <w:r w:rsidRPr="002B0EFC">
        <w:rPr>
          <w:rFonts w:ascii="Book Antiqua" w:eastAsia="Calibri" w:hAnsi="Book Antiqua" w:cs="Arial"/>
          <w:sz w:val="24"/>
          <w:szCs w:val="24"/>
        </w:rPr>
        <w:t xml:space="preserve"> (mengosongkan kehidupan duniawi), </w:t>
      </w:r>
      <w:r w:rsidRPr="002B0EFC">
        <w:rPr>
          <w:rFonts w:ascii="Book Antiqua" w:eastAsia="Calibri" w:hAnsi="Book Antiqua" w:cs="Arial"/>
          <w:i/>
          <w:sz w:val="24"/>
          <w:szCs w:val="24"/>
        </w:rPr>
        <w:t>sabar</w:t>
      </w:r>
      <w:r w:rsidRPr="002B0EFC">
        <w:rPr>
          <w:rFonts w:ascii="Book Antiqua" w:eastAsia="Calibri" w:hAnsi="Book Antiqua" w:cs="Arial"/>
          <w:sz w:val="24"/>
          <w:szCs w:val="24"/>
        </w:rPr>
        <w:t xml:space="preserve"> (menerima dengan iklhas karenaTuhan), </w:t>
      </w:r>
      <w:r w:rsidRPr="002B0EFC">
        <w:rPr>
          <w:rFonts w:ascii="Book Antiqua" w:eastAsia="Calibri" w:hAnsi="Book Antiqua" w:cs="Arial"/>
          <w:i/>
          <w:sz w:val="24"/>
          <w:szCs w:val="24"/>
        </w:rPr>
        <w:t>tawakkal</w:t>
      </w:r>
      <w:r w:rsidRPr="002B0EFC">
        <w:rPr>
          <w:rFonts w:ascii="Book Antiqua" w:eastAsia="Calibri" w:hAnsi="Book Antiqua" w:cs="Arial"/>
          <w:sz w:val="24"/>
          <w:szCs w:val="24"/>
        </w:rPr>
        <w:t xml:space="preserve"> (percaya ketentuan Tuhanyang terbaik), </w:t>
      </w:r>
      <w:r w:rsidRPr="002B0EFC">
        <w:rPr>
          <w:rFonts w:ascii="Book Antiqua" w:eastAsia="Calibri" w:hAnsi="Book Antiqua" w:cs="Arial"/>
          <w:i/>
          <w:sz w:val="24"/>
          <w:szCs w:val="24"/>
        </w:rPr>
        <w:t>ridha</w:t>
      </w:r>
      <w:r w:rsidRPr="002B0EFC">
        <w:rPr>
          <w:rFonts w:ascii="Book Antiqua" w:eastAsia="Calibri" w:hAnsi="Book Antiqua" w:cs="Arial"/>
          <w:sz w:val="24"/>
          <w:szCs w:val="24"/>
        </w:rPr>
        <w:t xml:space="preserve"> (hilangnya rasa ketidaksenangan dalam hati). </w:t>
      </w:r>
      <w:r w:rsidRPr="002B0EFC">
        <w:rPr>
          <w:rFonts w:ascii="Book Antiqua" w:eastAsia="Calibri" w:hAnsi="Book Antiqua" w:cs="Arial"/>
          <w:i/>
          <w:sz w:val="24"/>
          <w:szCs w:val="24"/>
        </w:rPr>
        <w:t>Kedua</w:t>
      </w:r>
      <w:r w:rsidRPr="002B0EFC">
        <w:rPr>
          <w:rFonts w:ascii="Book Antiqua" w:eastAsia="Calibri" w:hAnsi="Book Antiqua" w:cs="Arial"/>
          <w:sz w:val="24"/>
          <w:szCs w:val="24"/>
        </w:rPr>
        <w:t xml:space="preserve">, tahap penerimaan. Pada tahap ini seseorang akan mendapatkan pengetahuan langsung dari Tuhan secara </w:t>
      </w:r>
      <w:r w:rsidRPr="002B0EFC">
        <w:rPr>
          <w:rFonts w:ascii="Book Antiqua" w:eastAsia="Calibri" w:hAnsi="Book Antiqua" w:cs="Arial"/>
          <w:i/>
          <w:sz w:val="24"/>
          <w:szCs w:val="24"/>
        </w:rPr>
        <w:t>iluminatif</w:t>
      </w:r>
      <w:r w:rsidRPr="002B0EFC">
        <w:rPr>
          <w:rFonts w:ascii="Book Antiqua" w:eastAsia="Calibri" w:hAnsi="Book Antiqua" w:cs="Arial"/>
          <w:sz w:val="24"/>
          <w:szCs w:val="24"/>
        </w:rPr>
        <w:t xml:space="preserve">berupa realitas kesadaran diri yang demikian mutlak, sehingga mampu melihat realitas dirinya sendiri sebagai objek yang diketahui. Namun realitas kesadaran dan realitas yang disadari tersebut merupakan eksistensi yang sama, sehingga tahap ini melahirkan ilmu </w:t>
      </w:r>
      <w:r w:rsidRPr="002B0EFC">
        <w:rPr>
          <w:rFonts w:ascii="Book Antiqua" w:eastAsia="Calibri" w:hAnsi="Book Antiqua" w:cs="Arial"/>
          <w:i/>
          <w:sz w:val="24"/>
          <w:szCs w:val="24"/>
        </w:rPr>
        <w:t>huduri</w:t>
      </w:r>
      <w:r w:rsidRPr="002B0EFC">
        <w:rPr>
          <w:rFonts w:ascii="Book Antiqua" w:eastAsia="Calibri" w:hAnsi="Book Antiqua" w:cs="Arial"/>
          <w:sz w:val="24"/>
          <w:szCs w:val="24"/>
        </w:rPr>
        <w:t xml:space="preserve"> (</w:t>
      </w:r>
      <w:r w:rsidRPr="002B0EFC">
        <w:rPr>
          <w:rFonts w:ascii="Book Antiqua" w:eastAsia="Calibri" w:hAnsi="Book Antiqua" w:cs="Arial"/>
          <w:i/>
          <w:sz w:val="24"/>
          <w:szCs w:val="24"/>
        </w:rPr>
        <w:t xml:space="preserve">swaobjektif </w:t>
      </w:r>
      <w:r w:rsidRPr="002B0EFC">
        <w:rPr>
          <w:rFonts w:ascii="Book Antiqua" w:eastAsia="Calibri" w:hAnsi="Book Antiqua" w:cs="Arial"/>
          <w:sz w:val="24"/>
          <w:szCs w:val="24"/>
        </w:rPr>
        <w:t>atau</w:t>
      </w:r>
      <w:r w:rsidRPr="002B0EFC">
        <w:rPr>
          <w:rFonts w:ascii="Book Antiqua" w:eastAsia="Calibri" w:hAnsi="Book Antiqua" w:cs="Arial"/>
          <w:i/>
          <w:sz w:val="24"/>
          <w:szCs w:val="24"/>
        </w:rPr>
        <w:t>self-object-knowledge</w:t>
      </w:r>
      <w:r w:rsidRPr="002B0EFC">
        <w:rPr>
          <w:rFonts w:ascii="Book Antiqua" w:eastAsia="Calibri" w:hAnsi="Book Antiqua" w:cs="Arial"/>
          <w:sz w:val="24"/>
          <w:szCs w:val="24"/>
        </w:rPr>
        <w:t xml:space="preserve">). </w:t>
      </w:r>
      <w:r w:rsidRPr="002B0EFC">
        <w:rPr>
          <w:rFonts w:ascii="Book Antiqua" w:eastAsia="Calibri" w:hAnsi="Book Antiqua" w:cs="Arial"/>
          <w:i/>
          <w:sz w:val="24"/>
          <w:szCs w:val="24"/>
        </w:rPr>
        <w:t>Ketiga</w:t>
      </w:r>
      <w:r w:rsidRPr="002B0EFC">
        <w:rPr>
          <w:rFonts w:ascii="Book Antiqua" w:eastAsia="Calibri" w:hAnsi="Book Antiqua" w:cs="Arial"/>
          <w:sz w:val="24"/>
          <w:szCs w:val="24"/>
        </w:rPr>
        <w:t>, tahap pengungkapan. Tahap ini merupakan tahap terakhir, dimana pengalaman mistik berusaha diinterpretasikan dan diungkapkan kepada orang lain melalui ucapan atau tulisan.</w:t>
      </w:r>
      <w:r w:rsidRPr="002B0EFC">
        <w:rPr>
          <w:rStyle w:val="FootnoteReference"/>
          <w:rFonts w:ascii="Book Antiqua" w:eastAsia="Calibri" w:hAnsi="Book Antiqua" w:cs="Arial"/>
          <w:sz w:val="24"/>
          <w:szCs w:val="24"/>
        </w:rPr>
        <w:footnoteReference w:id="347"/>
      </w:r>
      <w:r w:rsidRPr="002B0EFC">
        <w:rPr>
          <w:rFonts w:ascii="Book Antiqua" w:eastAsia="Calibri" w:hAnsi="Book Antiqua" w:cs="Arial"/>
          <w:sz w:val="24"/>
          <w:szCs w:val="24"/>
        </w:rPr>
        <w:t xml:space="preserve"> Cara penalaran intuisi hati nurani seperti tersebut di atas dapat digunakan untuk merasakan kebenaran ilmu pengetahuansecara tetap, utuh dan menyeluruh, termasuk dalam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Calibri" w:hAnsi="Book Antiqua" w:cs="Arial"/>
          <w:sz w:val="24"/>
          <w:szCs w:val="24"/>
        </w:rPr>
        <w:t xml:space="preserve">Penalaran intuisi hati nurani seperti telah dijelaskan di atas, dalam memperoleh pengetahuan yang benar tergantung kemampuan olah batin manusia, sehingga hal ini akan cenderung menghasilkan suatu perasaan yang muncul dari dalam benak diripribadi seseorang yang diyakini sebagai sesuatu yang baik dan </w:t>
      </w:r>
      <w:r w:rsidRPr="002B0EFC">
        <w:rPr>
          <w:rFonts w:ascii="Book Antiqua" w:eastAsia="Calibri" w:hAnsi="Book Antiqua" w:cs="Arial"/>
          <w:sz w:val="24"/>
          <w:szCs w:val="24"/>
        </w:rPr>
        <w:lastRenderedPageBreak/>
        <w:t>tidak terpengaruh dari unsur eksternal. Hal ini seperti dijelaskan dalam Q.S Al-Furqan ayat 63;</w:t>
      </w:r>
    </w:p>
    <w:p w:rsidR="00346169" w:rsidRPr="00B80301" w:rsidRDefault="00346169" w:rsidP="002B0EFC">
      <w:pPr>
        <w:spacing w:after="0" w:line="360" w:lineRule="auto"/>
        <w:jc w:val="both"/>
        <w:rPr>
          <w:rFonts w:ascii="Book Antiqua" w:eastAsia="Calibri" w:hAnsi="Book Antiqua" w:cs="Arial"/>
          <w:i/>
          <w:sz w:val="24"/>
          <w:szCs w:val="24"/>
        </w:rPr>
      </w:pPr>
      <w:r w:rsidRPr="002B0EFC">
        <w:rPr>
          <w:rFonts w:ascii="Book Antiqua" w:eastAsia="Calibri" w:hAnsi="Book Antiqua" w:cs="Arial"/>
          <w:i/>
          <w:sz w:val="24"/>
          <w:szCs w:val="24"/>
        </w:rPr>
        <w:t>“Dan hamba-hamba Tuhan yang Maha Penyayang itu (ialah) orang-orang yang berjalan di atas bumi dengan rendah hati dan apabila orang-orang jahil menyapa mereka, mereka mengucapkan kata-kata (yang mengandung) keselamatan.”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Calibri" w:hAnsi="Book Antiqua" w:cs="Arial"/>
          <w:sz w:val="24"/>
          <w:szCs w:val="24"/>
        </w:rPr>
        <w:t xml:space="preserve">Hati nurani manusia memiliki independensi yang lebih kuat dari pada indera dan akal, karena sifat intersubjektifitas yang tinggi didukung oleh adanya keyakinan yang kuat dari kedekatannya hubungan dengan Tuhan untuk melakukan suatu yang diyakini baik. </w:t>
      </w:r>
      <w:r w:rsidRPr="002B0EFC">
        <w:rPr>
          <w:rFonts w:ascii="Book Antiqua" w:eastAsia="Times New Roman" w:hAnsi="Book Antiqua" w:cs="Arial"/>
          <w:sz w:val="24"/>
          <w:szCs w:val="24"/>
        </w:rPr>
        <w:t>Epistemologi ilmu hukum yang dikembangkan dengan sarana penalaran hati nurani yang menghasilkan perasaan dalam hukum bersumber dari dalam benak batin, maka apabila dikembangkan lebih lanjut hal ini dapat membentuk konsep hukum pengakuan kesalahan pribadi seseorang yangbersalah, seperti dikemukakan oleh Eve Brensike Primus.</w:t>
      </w:r>
      <w:r w:rsidRPr="002B0EFC">
        <w:rPr>
          <w:rStyle w:val="FootnoteReference"/>
          <w:rFonts w:ascii="Book Antiqua" w:eastAsia="Times New Roman" w:hAnsi="Book Antiqua" w:cs="Arial"/>
          <w:sz w:val="24"/>
          <w:szCs w:val="24"/>
        </w:rPr>
        <w:footnoteReference w:id="348"/>
      </w:r>
      <w:r w:rsidRPr="002B0EFC">
        <w:rPr>
          <w:rFonts w:ascii="Book Antiqua" w:eastAsia="Times New Roman" w:hAnsi="Book Antiqua" w:cs="Arial"/>
          <w:sz w:val="24"/>
          <w:szCs w:val="24"/>
        </w:rPr>
        <w:t>Hati nurani yang selalu membisikkan kebenaran dapat memberikan dorongan internal dari dalam diriuntuk mengakui kesalahan yang telah dilakukan karena adanya perasaan dalam benak hatinya untuk menyatakan apa yang sebenarnya, sehingga hal ini dapat digunakan untuk mengeksplor kebanaran hati nurani sebagai sarana penalaran dalam mengembangkan epistemologi ilmu hukum.</w:t>
      </w:r>
    </w:p>
    <w:p w:rsidR="00346169" w:rsidRPr="002B0EFC" w:rsidRDefault="00346169" w:rsidP="002B0EFC">
      <w:pPr>
        <w:spacing w:after="0" w:line="360" w:lineRule="auto"/>
        <w:ind w:firstLine="720"/>
        <w:jc w:val="both"/>
        <w:rPr>
          <w:rFonts w:ascii="Book Antiqua" w:eastAsia="Calibri" w:hAnsi="Book Antiqua" w:cs="Arial"/>
          <w:sz w:val="24"/>
          <w:szCs w:val="24"/>
        </w:rPr>
      </w:pPr>
      <w:r w:rsidRPr="002B0EFC">
        <w:rPr>
          <w:rFonts w:ascii="Book Antiqua" w:eastAsia="Times New Roman" w:hAnsi="Book Antiqua" w:cs="Arial"/>
          <w:sz w:val="24"/>
          <w:szCs w:val="24"/>
        </w:rPr>
        <w:t xml:space="preserve">Pemahaman terkait dengan hati </w:t>
      </w:r>
      <w:r w:rsidRPr="002B0EFC">
        <w:rPr>
          <w:rFonts w:ascii="Book Antiqua" w:hAnsi="Book Antiqua" w:cs="Arial"/>
          <w:sz w:val="24"/>
          <w:szCs w:val="24"/>
        </w:rPr>
        <w:t>nurani pada tahap perkembangannya dapat dijelaskan melalui teori quantum dan realtivitas. Teori quantum dapat digunakan untuk menjelaskan bagaimana cara kerja hati nurani dengan menunjukkan bahwa partikel-partikel subatom atau dalam hal ini adalah suatu kajian terkait dengan entitas hati nurani yang tidak berbentuk secara nyata empiris dan juga tidak bersifat jelas dan pasti, serta bukanlah butir-butir materi yang bersifat nyata dan terpisah, akan tetapi entitas hati nurani merupakan pola-pola probabilitas yang menunjukkan saling berhubungan dalam suatu jaring-jaring kosmik yang tidak dapat dipisah-pisahkan dalam diri manusia.</w:t>
      </w:r>
      <w:r w:rsidRPr="002B0EFC">
        <w:rPr>
          <w:rStyle w:val="FootnoteReference"/>
          <w:rFonts w:ascii="Book Antiqua" w:hAnsi="Book Antiqua" w:cs="Arial"/>
          <w:sz w:val="24"/>
          <w:szCs w:val="24"/>
        </w:rPr>
        <w:footnoteReference w:id="349"/>
      </w:r>
      <w:r w:rsidRPr="002B0EFC">
        <w:rPr>
          <w:rFonts w:ascii="Book Antiqua" w:hAnsi="Book Antiqua" w:cs="Arial"/>
          <w:sz w:val="24"/>
          <w:szCs w:val="24"/>
        </w:rPr>
        <w:t xml:space="preserve"> Teori relativitas dapat digunakan untuk menjelaskan hati nurani dalam membuat suatu jaring-jaring kosmik menjadi hidup dengan mengungkapkan ciri dinamis intrinsiknya untuk menunjukkan bahwa </w:t>
      </w:r>
      <w:r w:rsidRPr="002B0EFC">
        <w:rPr>
          <w:rFonts w:ascii="Book Antiqua" w:hAnsi="Book Antiqua" w:cs="Arial"/>
          <w:sz w:val="24"/>
          <w:szCs w:val="24"/>
        </w:rPr>
        <w:lastRenderedPageBreak/>
        <w:t>aktivitasnya adalah merupakan suatu entitas keberadaanya, artinya bahwa hati nurani tidak dapat dipahami secara konkrit dan pasti, karena selalu berubah dalam pergerakan guna menjalankan aktivitas keterhubungannya dengan fenomena yang lain.</w:t>
      </w:r>
      <w:r w:rsidRPr="002B0EFC">
        <w:rPr>
          <w:rStyle w:val="FootnoteReference"/>
          <w:rFonts w:ascii="Book Antiqua" w:hAnsi="Book Antiqua" w:cs="Arial"/>
          <w:sz w:val="24"/>
          <w:szCs w:val="24"/>
        </w:rPr>
        <w:footnoteReference w:id="350"/>
      </w:r>
    </w:p>
    <w:p w:rsidR="00346169" w:rsidRDefault="00346169" w:rsidP="002B0EFC">
      <w:pPr>
        <w:spacing w:after="0" w:line="360" w:lineRule="auto"/>
        <w:ind w:firstLine="720"/>
        <w:jc w:val="both"/>
        <w:rPr>
          <w:rFonts w:ascii="Book Antiqua" w:hAnsi="Book Antiqua" w:cs="Arial"/>
          <w:sz w:val="24"/>
          <w:szCs w:val="24"/>
        </w:rPr>
      </w:pPr>
      <w:r w:rsidRPr="002B0EFC">
        <w:rPr>
          <w:rFonts w:ascii="Book Antiqua" w:eastAsia="Calibri" w:hAnsi="Book Antiqua" w:cs="Arial"/>
          <w:sz w:val="24"/>
          <w:szCs w:val="24"/>
        </w:rPr>
        <w:t xml:space="preserve">Formasi dan struktur hati nurani </w:t>
      </w:r>
      <w:r w:rsidRPr="002B0EFC">
        <w:rPr>
          <w:rFonts w:ascii="Book Antiqua" w:eastAsia="Times New Roman" w:hAnsi="Book Antiqua" w:cs="Arial"/>
          <w:sz w:val="24"/>
          <w:szCs w:val="24"/>
        </w:rPr>
        <w:t>dalam ilmu hukum menghasilkan beberapa varian hukum, diantaranya teori hukum kodrat yang mengkaji hukum sebagai tata nilai batiniah yang dapat dipahami dalam perasaan melalui intuisi hati nurani. Pemahaman hukum kodrat yang menggunakan sarana penalaran hati nurani seperti dikemukakan oleh J.W Harris, bahwa pada jaman peradaban kuno manusia menggunakan penalaran hukum yang bersifat intusi (</w:t>
      </w:r>
      <w:r w:rsidRPr="002B0EFC">
        <w:rPr>
          <w:rFonts w:ascii="Book Antiqua" w:eastAsia="Times New Roman" w:hAnsi="Book Antiqua" w:cs="Arial"/>
          <w:i/>
          <w:sz w:val="24"/>
          <w:szCs w:val="24"/>
        </w:rPr>
        <w:t>ancient conception of judgeship</w:t>
      </w:r>
      <w:r w:rsidRPr="002B0EFC">
        <w:rPr>
          <w:rFonts w:ascii="Book Antiqua" w:eastAsia="Times New Roman" w:hAnsi="Book Antiqua" w:cs="Arial"/>
          <w:sz w:val="24"/>
          <w:szCs w:val="24"/>
        </w:rPr>
        <w:t>), bukan penalaran akal rasional seperti jaman modern. Senada dengan itu, Paul Scholten mengemukakan bahwa, manusia pada dasarnya memiliki kesadaran diri yang terdapat dalam intuisi hati nurani terkait dengan nilai-nilai yang bersifat umum, seperti berbuat baik kepada orang lain.</w:t>
      </w:r>
      <w:r w:rsidRPr="002B0EFC">
        <w:rPr>
          <w:rStyle w:val="FootnoteReference"/>
          <w:rFonts w:ascii="Book Antiqua" w:eastAsia="Times New Roman" w:hAnsi="Book Antiqua" w:cs="Arial"/>
          <w:sz w:val="24"/>
          <w:szCs w:val="24"/>
        </w:rPr>
        <w:footnoteReference w:id="351"/>
      </w:r>
      <w:r w:rsidRPr="002B0EFC">
        <w:rPr>
          <w:rFonts w:ascii="Book Antiqua" w:eastAsia="Times New Roman" w:hAnsi="Book Antiqua" w:cs="Arial"/>
          <w:sz w:val="24"/>
          <w:szCs w:val="24"/>
        </w:rPr>
        <w:t xml:space="preserve">Menurut </w:t>
      </w:r>
      <w:r w:rsidRPr="002B0EFC">
        <w:rPr>
          <w:rFonts w:ascii="Book Antiqua" w:hAnsi="Book Antiqua" w:cs="Arial"/>
          <w:sz w:val="24"/>
          <w:szCs w:val="24"/>
        </w:rPr>
        <w:t>Maslow, intuisi merupakan pengalaman puncak sebagai pembentuk pengetahuan yang benar bagi manusia dan Nietzsche memahami intuisi sebagai suatu inteligensi dari kemampuan manusia yang paling tinggi.</w:t>
      </w:r>
      <w:r w:rsidRPr="002B0EFC">
        <w:rPr>
          <w:rStyle w:val="FootnoteReference"/>
          <w:rFonts w:ascii="Book Antiqua" w:hAnsi="Book Antiqua" w:cs="Arial"/>
          <w:sz w:val="24"/>
          <w:szCs w:val="24"/>
        </w:rPr>
        <w:footnoteReference w:id="352"/>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b. </w:t>
      </w:r>
      <w:r w:rsidR="00FF5BD1">
        <w:rPr>
          <w:rFonts w:ascii="Book Antiqua" w:eastAsia="Times New Roman" w:hAnsi="Book Antiqua" w:cs="Arial"/>
          <w:b/>
          <w:sz w:val="24"/>
          <w:szCs w:val="24"/>
        </w:rPr>
        <w:t>Memahami kelebihan-</w:t>
      </w:r>
      <w:r w:rsidRPr="002B0EFC">
        <w:rPr>
          <w:rFonts w:ascii="Book Antiqua" w:eastAsia="Times New Roman" w:hAnsi="Book Antiqua" w:cs="Arial"/>
          <w:b/>
          <w:sz w:val="24"/>
          <w:szCs w:val="24"/>
        </w:rPr>
        <w:t>kelemahan sarana penalaran epistemologi ilmu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1). Kelebihan dan kelemahan indera dalam epistemologi ilmu hukum</w:t>
      </w:r>
    </w:p>
    <w:p w:rsidR="00346169" w:rsidRPr="002B0EFC" w:rsidRDefault="00346169" w:rsidP="002B0EFC">
      <w:pPr>
        <w:tabs>
          <w:tab w:val="right" w:leader="dot" w:pos="7938"/>
        </w:tabs>
        <w:spacing w:after="0" w:line="360" w:lineRule="auto"/>
        <w:jc w:val="both"/>
        <w:rPr>
          <w:rFonts w:ascii="Book Antiqua" w:eastAsia="Times New Roman" w:hAnsi="Book Antiqua" w:cs="Arial"/>
          <w:sz w:val="24"/>
          <w:szCs w:val="24"/>
        </w:rPr>
      </w:pPr>
      <w:r w:rsidRPr="002B0EFC">
        <w:rPr>
          <w:rFonts w:ascii="Book Antiqua" w:eastAsia="Times New Roman" w:hAnsi="Book Antiqua" w:cs="Arial"/>
          <w:b/>
          <w:sz w:val="24"/>
          <w:szCs w:val="24"/>
        </w:rPr>
        <w:tab/>
      </w:r>
      <w:r w:rsidR="00FF5BD1">
        <w:rPr>
          <w:rFonts w:ascii="Book Antiqua" w:eastAsia="Times New Roman" w:hAnsi="Book Antiqua" w:cs="Arial"/>
          <w:b/>
          <w:sz w:val="24"/>
          <w:szCs w:val="24"/>
        </w:rPr>
        <w:t xml:space="preserve">          </w:t>
      </w:r>
      <w:r w:rsidRPr="002B0EFC">
        <w:rPr>
          <w:rFonts w:ascii="Book Antiqua" w:eastAsia="Times New Roman" w:hAnsi="Book Antiqua" w:cs="Arial"/>
          <w:sz w:val="24"/>
          <w:szCs w:val="24"/>
        </w:rPr>
        <w:t xml:space="preserve">Indera sebagai sarana penalaran untuk mengembangkan epistemologi ilmu pengetahuan memiliki beberapa kelebihan, seperti dapat menangkap objek yang bersifat konkrit. Hal ini seperti dikemukakan oleh </w:t>
      </w:r>
      <w:r w:rsidRPr="002B0EFC">
        <w:rPr>
          <w:rFonts w:ascii="Book Antiqua" w:eastAsia="Calibri" w:hAnsi="Book Antiqua" w:cs="Arial"/>
          <w:sz w:val="24"/>
          <w:szCs w:val="24"/>
        </w:rPr>
        <w:t>John Locke,</w:t>
      </w:r>
      <w:r w:rsidRPr="002B0EFC">
        <w:rPr>
          <w:rFonts w:ascii="Book Antiqua" w:eastAsia="Calibri" w:hAnsi="Book Antiqua" w:cs="Arial"/>
          <w:sz w:val="24"/>
          <w:szCs w:val="24"/>
          <w:vertAlign w:val="superscript"/>
        </w:rPr>
        <w:footnoteReference w:id="353"/>
      </w:r>
      <w:r w:rsidRPr="002B0EFC">
        <w:rPr>
          <w:rFonts w:ascii="Book Antiqua" w:eastAsia="Calibri" w:hAnsi="Book Antiqua" w:cs="Arial"/>
          <w:sz w:val="24"/>
          <w:szCs w:val="24"/>
        </w:rPr>
        <w:t xml:space="preserve"> dan Ikhwan al-Shafa,</w:t>
      </w:r>
      <w:r w:rsidRPr="002B0EFC">
        <w:rPr>
          <w:rStyle w:val="FootnoteReference"/>
          <w:rFonts w:ascii="Book Antiqua" w:eastAsia="Calibri" w:hAnsi="Book Antiqua" w:cs="Arial"/>
          <w:sz w:val="24"/>
          <w:szCs w:val="24"/>
        </w:rPr>
        <w:footnoteReference w:id="354"/>
      </w:r>
      <w:r w:rsidRPr="002B0EFC">
        <w:rPr>
          <w:rFonts w:ascii="Book Antiqua" w:eastAsia="Calibri" w:hAnsi="Book Antiqua" w:cs="Arial"/>
          <w:sz w:val="24"/>
          <w:szCs w:val="24"/>
        </w:rPr>
        <w:t xml:space="preserve"> bahwa semua pengetahuan manusia berasal dari pengalaman indera secara empiris</w:t>
      </w:r>
      <w:r w:rsidRPr="002B0EFC">
        <w:rPr>
          <w:rFonts w:ascii="Book Antiqua" w:eastAsia="Times New Roman" w:hAnsi="Book Antiqua" w:cs="Arial"/>
          <w:sz w:val="24"/>
          <w:szCs w:val="24"/>
        </w:rPr>
        <w:t>. Dalam ilmuhukum, maka indera dapat menangkap objek mahzab sejarah hukum yang bersifat nyata dari realitas empiris pergaulan hidup di masyarakat yang berupa tradisi kebiasaan.</w:t>
      </w:r>
      <w:r w:rsidRPr="002B0EFC">
        <w:rPr>
          <w:rStyle w:val="FootnoteReference"/>
          <w:rFonts w:ascii="Book Antiqua" w:eastAsia="Times New Roman" w:hAnsi="Book Antiqua" w:cs="Arial"/>
          <w:sz w:val="24"/>
          <w:szCs w:val="24"/>
        </w:rPr>
        <w:footnoteReference w:id="355"/>
      </w:r>
      <w:r w:rsidRPr="002B0EFC">
        <w:rPr>
          <w:rFonts w:ascii="Book Antiqua" w:eastAsia="Times New Roman" w:hAnsi="Book Antiqua" w:cs="Arial"/>
          <w:sz w:val="24"/>
          <w:szCs w:val="24"/>
        </w:rPr>
        <w:t xml:space="preserve"> Indera juga dapat menangkap objek secara </w:t>
      </w:r>
      <w:r w:rsidRPr="002B0EFC">
        <w:rPr>
          <w:rFonts w:ascii="Book Antiqua" w:eastAsia="Times New Roman" w:hAnsi="Book Antiqua" w:cs="Arial"/>
          <w:sz w:val="24"/>
          <w:szCs w:val="24"/>
        </w:rPr>
        <w:lastRenderedPageBreak/>
        <w:t xml:space="preserve">langsung tanpa ada yang menghalangi, seperti di kemukakan oleh </w:t>
      </w:r>
      <w:r w:rsidRPr="002B0EFC">
        <w:rPr>
          <w:rFonts w:ascii="Book Antiqua" w:eastAsia="Calibri" w:hAnsi="Book Antiqua" w:cs="Arial"/>
          <w:sz w:val="24"/>
          <w:szCs w:val="24"/>
        </w:rPr>
        <w:t>Aristoteles,</w:t>
      </w:r>
      <w:r w:rsidRPr="002B0EFC">
        <w:rPr>
          <w:rFonts w:ascii="Book Antiqua" w:eastAsia="Calibri" w:hAnsi="Book Antiqua" w:cs="Arial"/>
          <w:sz w:val="24"/>
          <w:szCs w:val="24"/>
          <w:vertAlign w:val="superscript"/>
        </w:rPr>
        <w:footnoteReference w:id="356"/>
      </w:r>
      <w:r w:rsidRPr="002B0EFC">
        <w:rPr>
          <w:rFonts w:ascii="Book Antiqua" w:eastAsia="Calibri" w:hAnsi="Book Antiqua" w:cs="Arial"/>
          <w:sz w:val="24"/>
          <w:szCs w:val="24"/>
        </w:rPr>
        <w:t xml:space="preserve"> dan Ibn Rusyd,</w:t>
      </w:r>
      <w:r w:rsidRPr="002B0EFC">
        <w:rPr>
          <w:rStyle w:val="FootnoteReference"/>
          <w:rFonts w:ascii="Book Antiqua" w:eastAsia="Calibri" w:hAnsi="Book Antiqua" w:cs="Arial"/>
          <w:sz w:val="24"/>
          <w:szCs w:val="24"/>
        </w:rPr>
        <w:footnoteReference w:id="357"/>
      </w:r>
      <w:r w:rsidRPr="002B0EFC">
        <w:rPr>
          <w:rFonts w:ascii="Book Antiqua" w:eastAsia="Calibri" w:hAnsi="Book Antiqua" w:cs="Arial"/>
          <w:sz w:val="24"/>
          <w:szCs w:val="24"/>
        </w:rPr>
        <w:t xml:space="preserve"> bahwa ilmu pengetahuan diperoleh dari hasil kegiatan langsung manusia yang berupa pengamatan terhadap realitas kenyataan yang terjadi. Dengan demikian, indera dapat menangkap objek mahzab sejarah hukum yang </w:t>
      </w:r>
      <w:r w:rsidRPr="002B0EFC">
        <w:rPr>
          <w:rFonts w:ascii="Book Antiqua" w:eastAsia="Times New Roman" w:hAnsi="Book Antiqua" w:cs="Arial"/>
          <w:sz w:val="24"/>
          <w:szCs w:val="24"/>
        </w:rPr>
        <w:t>tumbuh dan berkembang dalam pergaulan hidup di masyarakat.</w:t>
      </w:r>
      <w:r w:rsidRPr="002B0EFC">
        <w:rPr>
          <w:rStyle w:val="FootnoteReference"/>
          <w:rFonts w:ascii="Book Antiqua" w:eastAsia="Times New Roman" w:hAnsi="Book Antiqua" w:cs="Arial"/>
          <w:sz w:val="24"/>
          <w:szCs w:val="24"/>
        </w:rPr>
        <w:footnoteReference w:id="358"/>
      </w:r>
      <w:r w:rsidRPr="002B0EFC">
        <w:rPr>
          <w:rFonts w:ascii="Book Antiqua" w:eastAsia="Times New Roman" w:hAnsi="Book Antiqua" w:cs="Arial"/>
          <w:sz w:val="24"/>
          <w:szCs w:val="24"/>
        </w:rPr>
        <w:t xml:space="preserve"> Indera juga memiliki beberapa kelamahan dalam memandang suatu objek. Indera dapat tertipu dalam melihat benda yang konkrit, seperti melihat pensil yang tampak bengkok di dalam gelas air, padahal pensil yang sebenarnya lurus. Dalam hukum, objek mahzab sejarah hukum yang tampak secara empiris dalam pergaulan hidup masyarakat yang berupa tradisi kebiasaan bukan merupakan hukum yang sebenarnya, seperti adanya tradisi kebiasaan perbudakan yang sebenarnya bertentangan dengan hukum yang benar. Indera juga mengalami kesulitan untuk menangkap objek mahzab sejarah hukum yang berupa tradisi kebiasaan dalam pergaulan masyarakat, karena beraneka ragam variasinya dan selalu berubah sesuai dengan dinamika perkembangan masyarakat.</w:t>
      </w:r>
    </w:p>
    <w:p w:rsidR="00346169" w:rsidRPr="002B0EFC" w:rsidRDefault="00346169" w:rsidP="002B0EFC">
      <w:pPr>
        <w:tabs>
          <w:tab w:val="right" w:leader="dot" w:pos="7938"/>
        </w:tabs>
        <w:spacing w:after="0" w:line="360" w:lineRule="auto"/>
        <w:jc w:val="both"/>
        <w:rPr>
          <w:rFonts w:ascii="Book Antiqua" w:hAnsi="Book Antiqua" w:cs="Arial"/>
          <w:sz w:val="24"/>
          <w:szCs w:val="24"/>
        </w:rPr>
      </w:pPr>
      <w:r w:rsidRPr="002B0EFC">
        <w:rPr>
          <w:rFonts w:ascii="Book Antiqua" w:eastAsia="Times New Roman" w:hAnsi="Book Antiqua" w:cs="Arial"/>
          <w:sz w:val="24"/>
          <w:szCs w:val="24"/>
        </w:rPr>
        <w:t xml:space="preserve">          Metode induktif yang digunakan indera memiliki kelebihan untuk menarik satu kesimpulan dengan cara menggeneralisasi hal-hal yang bersifat khusus kepada hal yang bersifat umum dapat mempermudah mengenali sesuatu, karena dengan prinsip pengulangan yang berangkat </w:t>
      </w:r>
      <w:r w:rsidRPr="002B0EFC">
        <w:rPr>
          <w:rFonts w:ascii="Book Antiqua" w:hAnsi="Book Antiqua" w:cs="Arial"/>
          <w:sz w:val="24"/>
          <w:szCs w:val="24"/>
        </w:rPr>
        <w:t>dari yang diketahui menuju ke yang belum diketahui akan diperoleh pengetahuan yang sama benarnya.</w:t>
      </w:r>
      <w:r w:rsidRPr="002B0EFC">
        <w:rPr>
          <w:rStyle w:val="FootnoteReference"/>
          <w:rFonts w:ascii="Book Antiqua" w:hAnsi="Book Antiqua" w:cs="Arial"/>
          <w:sz w:val="24"/>
          <w:szCs w:val="24"/>
        </w:rPr>
        <w:footnoteReference w:id="359"/>
      </w:r>
      <w:r w:rsidRPr="002B0EFC">
        <w:rPr>
          <w:rFonts w:ascii="Book Antiqua" w:hAnsi="Book Antiqua" w:cs="Arial"/>
          <w:sz w:val="24"/>
          <w:szCs w:val="24"/>
        </w:rPr>
        <w:t xml:space="preserve"> Dalam hukum, pergaulan hidup di masyarakat semakin lama akan bertambah banyak dan menjadi kebiasaan yang diakui mahzab sejarah hukum menjadi sumber hukum,</w:t>
      </w:r>
      <w:r w:rsidRPr="002B0EFC">
        <w:rPr>
          <w:rFonts w:ascii="Book Antiqua" w:hAnsi="Book Antiqua" w:cs="Arial"/>
          <w:sz w:val="24"/>
          <w:szCs w:val="24"/>
          <w:vertAlign w:val="superscript"/>
        </w:rPr>
        <w:footnoteReference w:id="360"/>
      </w:r>
      <w:r w:rsidRPr="002B0EFC">
        <w:rPr>
          <w:rFonts w:ascii="Book Antiqua" w:hAnsi="Book Antiqua" w:cs="Arial"/>
          <w:sz w:val="24"/>
          <w:szCs w:val="24"/>
        </w:rPr>
        <w:t xml:space="preserve"> maka dengan metode induktif dapat menggeneralisir beberapa objek hukum yang bersifat khusus dan banyak menjadi satu kesimpulan yang bersifat umum. Dalam metode induktif juga memiliki kelemahan, penggunaan generalisasi dari hal-hal yang bersifat khusus kepada hal-hal yang bersifat umum menunjukkan pengukuhan terhadap seberapa banyak fakta yang mendukung yang biasanya diukur dari </w:t>
      </w:r>
      <w:r w:rsidRPr="002B0EFC">
        <w:rPr>
          <w:rFonts w:ascii="Book Antiqua" w:hAnsi="Book Antiqua" w:cs="Arial"/>
          <w:sz w:val="24"/>
          <w:szCs w:val="24"/>
        </w:rPr>
        <w:lastRenderedPageBreak/>
        <w:t>kuantitas jumlah hal-hal khusus yang dapat memperkuat kebenaran. Hal ini seperti diibaratkan oleh John Locke, bahwa pengetahuan seperti kamera yang merekam kesan-kesan dari luar yang tertangkap oleh indera.</w:t>
      </w:r>
      <w:r w:rsidRPr="002B0EFC">
        <w:rPr>
          <w:rFonts w:ascii="Book Antiqua" w:hAnsi="Book Antiqua" w:cs="Arial"/>
          <w:sz w:val="24"/>
          <w:szCs w:val="24"/>
          <w:vertAlign w:val="superscript"/>
        </w:rPr>
        <w:footnoteReference w:id="361"/>
      </w:r>
      <w:r w:rsidRPr="002B0EFC">
        <w:rPr>
          <w:rFonts w:ascii="Book Antiqua" w:hAnsi="Book Antiqua" w:cs="Arial"/>
          <w:sz w:val="24"/>
          <w:szCs w:val="24"/>
        </w:rPr>
        <w:t xml:space="preserve"> Pandangan tersebut belum tentu dapat diterima, karena lebih mengandalkan pada ukuran jumlah kuantitas untuk menentukan kebenaran, padahal terhadap kuantitas jumlah yang besar belum tentu dapat menjamin kebenaran yang dihasilkan. Tradisi kebiasaan yang diikuti oleh hampir seluruh masyarakat dalam pandangan mahzab sejarah hukum belum tentu merupakan kebenaran hukum. Tradisi kebiasaan yang ada di masyarakat dapat saja membiarkan ketidakbaikan terjadi, karena ketidakberdayaan masyarakat untuk merubahnya, seperti tradisi kebiasaan perbudakan, maka terhadap hal ini tentu tidak dapat dibenarkan menurut hukum. </w:t>
      </w:r>
    </w:p>
    <w:p w:rsidR="00346169" w:rsidRPr="002B0EFC" w:rsidRDefault="00346169" w:rsidP="002B0EFC">
      <w:pPr>
        <w:tabs>
          <w:tab w:val="right" w:leader="dot" w:pos="7938"/>
        </w:tabs>
        <w:spacing w:after="0" w:line="360" w:lineRule="auto"/>
        <w:jc w:val="both"/>
        <w:rPr>
          <w:rFonts w:ascii="Book Antiqua" w:hAnsi="Book Antiqua" w:cs="Arial"/>
          <w:sz w:val="24"/>
          <w:szCs w:val="24"/>
        </w:rPr>
      </w:pPr>
      <w:r w:rsidRPr="002B0EFC">
        <w:rPr>
          <w:rFonts w:ascii="Book Antiqua" w:hAnsi="Book Antiqua" w:cs="Arial"/>
          <w:sz w:val="24"/>
          <w:szCs w:val="24"/>
        </w:rPr>
        <w:t xml:space="preserve">          Kemanfaatan epistemologi ilmu hukum yang menggunakan sarana penalaran indera memiliki kelebihan dapat digunakan untuk melihat hukum yang sebenarnya di masyarakat dari tradisi kebiasaan yang ada. Dengan demikian, untuk melihat hukum yang sebenarnya menurut mahzab sejarah hukum adalah dengan melihat tradisi kebiasaan masyarakat dalam pergaulan hidup di masyarakat. Dalam mahzab sejarah hukum terdapat pernyataan yang menguatkan kebenaran empiris tersebut, yaitu apa yang benar menurut sejarah juga benar menurut hukum.</w:t>
      </w:r>
      <w:r w:rsidRPr="002B0EFC">
        <w:rPr>
          <w:rFonts w:ascii="Book Antiqua" w:hAnsi="Book Antiqua" w:cs="Arial"/>
          <w:sz w:val="24"/>
          <w:szCs w:val="24"/>
          <w:vertAlign w:val="superscript"/>
        </w:rPr>
        <w:footnoteReference w:id="362"/>
      </w:r>
      <w:r w:rsidRPr="002B0EFC">
        <w:rPr>
          <w:rFonts w:ascii="Book Antiqua" w:hAnsi="Book Antiqua" w:cs="Arial"/>
          <w:sz w:val="24"/>
          <w:szCs w:val="24"/>
        </w:rPr>
        <w:t xml:space="preserve"> Hal ini seperti prinsip empirisme yang dikemukakan John Locke,</w:t>
      </w:r>
      <w:r w:rsidRPr="002B0EFC">
        <w:rPr>
          <w:rFonts w:ascii="Book Antiqua" w:hAnsi="Book Antiqua" w:cs="Arial"/>
          <w:sz w:val="24"/>
          <w:szCs w:val="24"/>
          <w:vertAlign w:val="superscript"/>
        </w:rPr>
        <w:footnoteReference w:id="363"/>
      </w:r>
      <w:r w:rsidRPr="002B0EFC">
        <w:rPr>
          <w:rFonts w:ascii="Book Antiqua" w:hAnsi="Book Antiqua" w:cs="Arial"/>
          <w:sz w:val="24"/>
          <w:szCs w:val="24"/>
        </w:rPr>
        <w:t xml:space="preserve"> bahwa kebenaran yang bertumpu pada realitas empiris. Berdasarkan pandangan tersebut, juga tampak kelemahan dari hasil cara pandang indera dalam melihat realitas empiris hukum yang ada dalam pergaulan hidup di masyarakat, karena hal itu dapat dikatakan hampir sama dengan menyerahkan kebenaran hukum pada tradisi kebiasaan masyarakat. Padahal realitas empiris yang tampak tidak selamanya mencerminkan hukum yang sebenarnya, karena masih terdapat kebenaran hukum yang tersembunyi dibalik realitas empiris tersebut atau beberapa penolakan yang tidak ditunjukkan secara nyata. Hukum yang dipandang hanya secara empiris yang ada di masyarakat juga dinilai tidak memilik nilai kepastian, karena setiap masing-</w:t>
      </w:r>
      <w:r w:rsidRPr="002B0EFC">
        <w:rPr>
          <w:rFonts w:ascii="Book Antiqua" w:hAnsi="Book Antiqua" w:cs="Arial"/>
          <w:sz w:val="24"/>
          <w:szCs w:val="24"/>
        </w:rPr>
        <w:lastRenderedPageBreak/>
        <w:t>masing masyarakat memiliki tradisi kebiasaan yang berbeda dan berubah-ubah sesuai dengan dinamika yang terjadi.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2). Kelebihan dan kelemahan akal dalam epistemologi ilmu hukum</w:t>
      </w:r>
    </w:p>
    <w:p w:rsidR="00346169" w:rsidRPr="002B0EFC" w:rsidRDefault="00346169" w:rsidP="002B0EFC">
      <w:pPr>
        <w:spacing w:after="0" w:line="360" w:lineRule="auto"/>
        <w:jc w:val="both"/>
        <w:rPr>
          <w:rFonts w:ascii="Book Antiqua" w:hAnsi="Book Antiqua" w:cs="Arial"/>
          <w:sz w:val="24"/>
          <w:szCs w:val="24"/>
        </w:rPr>
      </w:pPr>
      <w:r w:rsidRPr="002B0EFC">
        <w:rPr>
          <w:rFonts w:ascii="Book Antiqua" w:eastAsia="Times New Roman" w:hAnsi="Book Antiqua" w:cs="Arial"/>
          <w:sz w:val="24"/>
          <w:szCs w:val="24"/>
        </w:rPr>
        <w:t xml:space="preserve">          Akal sebagai sarana penalaran untuk mengembangkan epistemologi ilmu pengetahuan memiliki beberapa kelebihan tidak hanya dapat mengenali objek secara konkrit, tetapi juga sesuatu yang abstrak sepertiterdapat dalam ide-Ide yang bersifat apriori dan prapengalaman.</w:t>
      </w:r>
      <w:r w:rsidRPr="002B0EFC">
        <w:rPr>
          <w:rFonts w:ascii="Book Antiqua" w:eastAsia="Times New Roman" w:hAnsi="Book Antiqua" w:cs="Arial"/>
          <w:sz w:val="24"/>
          <w:szCs w:val="24"/>
          <w:vertAlign w:val="superscript"/>
        </w:rPr>
        <w:footnoteReference w:id="364"/>
      </w:r>
      <w:r w:rsidRPr="002B0EFC">
        <w:rPr>
          <w:rFonts w:ascii="Book Antiqua" w:eastAsia="Times New Roman" w:hAnsi="Book Antiqua" w:cs="Arial"/>
          <w:sz w:val="24"/>
          <w:szCs w:val="24"/>
        </w:rPr>
        <w:t xml:space="preserve"> Objek pengetahuan dapat berupa objek rasional yang merupakan substansi dari objek inderawi.</w:t>
      </w:r>
      <w:r w:rsidRPr="002B0EFC">
        <w:rPr>
          <w:rFonts w:ascii="Book Antiqua" w:eastAsia="Times New Roman" w:hAnsi="Book Antiqua" w:cs="Arial"/>
          <w:sz w:val="24"/>
          <w:szCs w:val="24"/>
          <w:vertAlign w:val="superscript"/>
        </w:rPr>
        <w:footnoteReference w:id="365"/>
      </w:r>
      <w:r w:rsidRPr="002B0EFC">
        <w:rPr>
          <w:rFonts w:ascii="Book Antiqua" w:eastAsia="Times New Roman" w:hAnsi="Book Antiqua" w:cs="Arial"/>
          <w:sz w:val="24"/>
          <w:szCs w:val="24"/>
        </w:rPr>
        <w:t xml:space="preserve"> Dengan demikian, akal dapat digunakan untuk memperoleh pengetahuan hukum secara tidak langsung dari data-data hasil studi kepustakaan yang sering disebut dengan data sekunder atau bahan hukum. P</w:t>
      </w:r>
      <w:r w:rsidRPr="002B0EFC">
        <w:rPr>
          <w:rFonts w:ascii="Book Antiqua" w:hAnsi="Book Antiqua" w:cs="Arial"/>
          <w:sz w:val="24"/>
          <w:szCs w:val="24"/>
        </w:rPr>
        <w:t>enggunaan akal membantu pemahaman yang benar terhadap objek hukum yangberupa peraturan perundang-undangan seperti dalam aliran positivisme hukum. Peraturan perundang-undangan bukan merupakan benda hidup yang dapat bergerak sendiri, tetapi hanya dapat berjalan berdasarkan arahan akal.</w:t>
      </w:r>
      <w:r w:rsidRPr="002B0EFC">
        <w:rPr>
          <w:rFonts w:ascii="Book Antiqua" w:hAnsi="Book Antiqua" w:cs="Arial"/>
          <w:sz w:val="24"/>
          <w:szCs w:val="24"/>
          <w:vertAlign w:val="superscript"/>
        </w:rPr>
        <w:footnoteReference w:id="366"/>
      </w:r>
      <w:r w:rsidRPr="002B0EFC">
        <w:rPr>
          <w:rFonts w:ascii="Book Antiqua" w:hAnsi="Book Antiqua" w:cs="Arial"/>
          <w:sz w:val="24"/>
          <w:szCs w:val="24"/>
        </w:rPr>
        <w:t>Akal juga memiliki kelamahan dalam memandang objek hukum yang berupa peraturan perundang-undangan dalam bentuk data-data hasil studi kepustakaan, karena hal ini dapat mengenyampingkan tradisi kebiasaan sebagai realitas hukum empiris yang ada dalam pergaulan hidup di masyarakat dan juga perasaan hukum yang terdapat dalam hati nurani. Objek hukum yang berupa peraturan perundang-undangan belum tentu mencerminkan hukum yang sebenarnya, karena dapat saja hukum telah dibentuk sedemikian rupa untuk kepentingan penguasa, seperti dikemukakan John Austin.</w:t>
      </w:r>
      <w:r w:rsidRPr="002B0EFC">
        <w:rPr>
          <w:rStyle w:val="FootnoteReference"/>
          <w:rFonts w:ascii="Book Antiqua" w:eastAsia="Times New Roman" w:hAnsi="Book Antiqua" w:cs="Arial"/>
          <w:sz w:val="24"/>
          <w:szCs w:val="24"/>
        </w:rPr>
        <w:footnoteReference w:id="367"/>
      </w:r>
    </w:p>
    <w:p w:rsidR="00346169" w:rsidRPr="002B0EFC" w:rsidRDefault="00346169" w:rsidP="002B0EFC">
      <w:pPr>
        <w:spacing w:after="0" w:line="360" w:lineRule="auto"/>
        <w:ind w:firstLine="720"/>
        <w:jc w:val="both"/>
        <w:rPr>
          <w:rFonts w:ascii="Book Antiqua" w:hAnsi="Book Antiqua" w:cs="Arial"/>
          <w:sz w:val="24"/>
          <w:szCs w:val="24"/>
        </w:rPr>
      </w:pPr>
      <w:r w:rsidRPr="002B0EFC">
        <w:rPr>
          <w:rFonts w:ascii="Book Antiqua" w:hAnsi="Book Antiqua" w:cs="Arial"/>
          <w:sz w:val="24"/>
          <w:szCs w:val="24"/>
        </w:rPr>
        <w:t>Metode deduktif yang digunakan akal memiliki kelebihan untuk menarik satu kesimpulan dari pernyataan yang bersifat umum ke dalam suatu kesimpulan yang bersifat khusus. Hal ini seperti dikemukakan oleh Bertrand Russel,</w:t>
      </w:r>
      <w:r w:rsidRPr="002B0EFC">
        <w:rPr>
          <w:rFonts w:ascii="Book Antiqua" w:hAnsi="Book Antiqua" w:cs="Arial"/>
          <w:sz w:val="24"/>
          <w:szCs w:val="24"/>
          <w:vertAlign w:val="superscript"/>
        </w:rPr>
        <w:footnoteReference w:id="368"/>
      </w:r>
      <w:r w:rsidRPr="002B0EFC">
        <w:rPr>
          <w:rFonts w:ascii="Book Antiqua" w:hAnsi="Book Antiqua" w:cs="Arial"/>
          <w:sz w:val="24"/>
          <w:szCs w:val="24"/>
        </w:rPr>
        <w:t xml:space="preserve"> dan prinsip silogisme dari al-Jabiri yang dikutip dari al-Farabi.</w:t>
      </w:r>
      <w:r w:rsidRPr="002B0EFC">
        <w:rPr>
          <w:rFonts w:ascii="Book Antiqua" w:hAnsi="Book Antiqua" w:cs="Arial"/>
          <w:sz w:val="24"/>
          <w:szCs w:val="24"/>
          <w:vertAlign w:val="superscript"/>
        </w:rPr>
        <w:footnoteReference w:id="369"/>
      </w:r>
      <w:r w:rsidRPr="002B0EFC">
        <w:rPr>
          <w:rFonts w:ascii="Book Antiqua" w:hAnsi="Book Antiqua" w:cs="Arial"/>
          <w:sz w:val="24"/>
          <w:szCs w:val="24"/>
        </w:rPr>
        <w:t xml:space="preserve"> Dalam hukum, prinsip ini dapat mempermudah untuk mencari pemahaman yang benar berdasarkan </w:t>
      </w:r>
      <w:r w:rsidRPr="002B0EFC">
        <w:rPr>
          <w:rFonts w:ascii="Book Antiqua" w:hAnsi="Book Antiqua" w:cs="Arial"/>
          <w:sz w:val="24"/>
          <w:szCs w:val="24"/>
        </w:rPr>
        <w:lastRenderedPageBreak/>
        <w:t>sistem positivisme hukum, karena dapat menarik premis mayor yang berupa peraturan perundang-undangan yang telah dianggap benar ke dalam premis minor yang berupa peristiwa-peristiwa khusus yang dianggap belum memiliki nilai kebenaran. Penggunaan akal dalam sistem logika hukum tertutup (</w:t>
      </w:r>
      <w:r w:rsidRPr="002B0EFC">
        <w:rPr>
          <w:rFonts w:ascii="Book Antiqua" w:hAnsi="Book Antiqua" w:cs="Arial"/>
          <w:i/>
          <w:sz w:val="24"/>
          <w:szCs w:val="24"/>
        </w:rPr>
        <w:t>closed logical system</w:t>
      </w:r>
      <w:r w:rsidRPr="002B0EFC">
        <w:rPr>
          <w:rFonts w:ascii="Book Antiqua" w:hAnsi="Book Antiqua" w:cs="Arial"/>
          <w:sz w:val="24"/>
          <w:szCs w:val="24"/>
        </w:rPr>
        <w:t>) sebagaimana dikemukakan Hans Kelsen telah meneguhkanilmu hukummemiliki disiplin ilmu yang mandiri (</w:t>
      </w:r>
      <w:r w:rsidRPr="002B0EFC">
        <w:rPr>
          <w:rFonts w:ascii="Book Antiqua" w:hAnsi="Book Antiqua" w:cs="Arial"/>
          <w:i/>
          <w:sz w:val="24"/>
          <w:szCs w:val="24"/>
        </w:rPr>
        <w:t>autonomus discipline</w:t>
      </w:r>
      <w:r w:rsidRPr="002B0EFC">
        <w:rPr>
          <w:rFonts w:ascii="Book Antiqua" w:hAnsi="Book Antiqua" w:cs="Arial"/>
          <w:sz w:val="24"/>
          <w:szCs w:val="24"/>
        </w:rPr>
        <w:t>).</w:t>
      </w:r>
      <w:r w:rsidRPr="002B0EFC">
        <w:rPr>
          <w:rFonts w:ascii="Book Antiqua" w:hAnsi="Book Antiqua" w:cs="Arial"/>
          <w:sz w:val="24"/>
          <w:szCs w:val="24"/>
          <w:vertAlign w:val="superscript"/>
        </w:rPr>
        <w:footnoteReference w:id="370"/>
      </w:r>
      <w:r w:rsidRPr="002B0EFC">
        <w:rPr>
          <w:rFonts w:ascii="Book Antiqua" w:hAnsi="Book Antiqua" w:cs="Arial"/>
          <w:sz w:val="24"/>
          <w:szCs w:val="24"/>
        </w:rPr>
        <w:t xml:space="preserve"> Metode deduktif juga memiliki kelemahan, karena mendasarkan kebenaran pada premis mayor yang bersifat aksiomatik pada dasarnya bukan merupakan kebenaran yang baru, tetapi hanya merujuk kebenaran di atasnya. Hal ini seperti dikemukakan Ludwing von Wiittgenstein, bahwa tidak ada pengetahuan baru dalam penalaran logika deduktif, karena pengetahuan yang diperoleh merupakan kebenaran yang bersifat </w:t>
      </w:r>
      <w:r w:rsidRPr="002B0EFC">
        <w:rPr>
          <w:rFonts w:ascii="Book Antiqua" w:hAnsi="Book Antiqua" w:cs="Arial"/>
          <w:i/>
          <w:sz w:val="24"/>
          <w:szCs w:val="24"/>
        </w:rPr>
        <w:t>tautologis</w:t>
      </w:r>
      <w:r w:rsidRPr="002B0EFC">
        <w:rPr>
          <w:rFonts w:ascii="Book Antiqua" w:hAnsi="Book Antiqua" w:cs="Arial"/>
          <w:sz w:val="24"/>
          <w:szCs w:val="24"/>
        </w:rPr>
        <w:t>.</w:t>
      </w:r>
      <w:r w:rsidRPr="002B0EFC">
        <w:rPr>
          <w:rFonts w:ascii="Book Antiqua" w:hAnsi="Book Antiqua" w:cs="Arial"/>
          <w:sz w:val="24"/>
          <w:szCs w:val="24"/>
          <w:vertAlign w:val="superscript"/>
        </w:rPr>
        <w:footnoteReference w:id="371"/>
      </w:r>
      <w:r w:rsidRPr="002B0EFC">
        <w:rPr>
          <w:rFonts w:ascii="Book Antiqua" w:hAnsi="Book Antiqua" w:cs="Arial"/>
          <w:sz w:val="24"/>
          <w:szCs w:val="24"/>
        </w:rPr>
        <w:t>Kebenaran hukum yang telah ditetapkan sebelumnya dalam peraturan perundang-undangan menjadi premis mayor yang menjadi rujukan utama untuk menentukan kebenaran hukum dari peristiwa-peristiwa hukum bersifat khusus yang menjadi premis minor, sehingga pengetahuan yang baruharus sesuai dengan peraturan perundang-undangan tersebut. Dalam hal ini, berarti peraturan perundang-undangan telah dikukuhkan sebelumnya menjadi kebenaran positif keberlakuannya yang menjadi rujukan bagi kebenaran hukum selanjutnya, jika demikian hukum tidak mengalami apa yang disebut dengan perkembangan baru.</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hAnsi="Book Antiqua" w:cs="Arial"/>
          <w:sz w:val="24"/>
          <w:szCs w:val="24"/>
        </w:rPr>
        <w:t xml:space="preserve">          Kemanfaatan epistemologi ilmu hukum yang menggunakan sarana penalaran akal memiliki kelebihan dapat digunkaan secara efektif untuk memahami logika hukum yang terdapat dalam sistem norma positif peraturan perundang-undangan seperti dalam aliran positivisme hukum yang dikemukakan oleh Hans Kelsen, yang mana keputusanyang dipahami benar dapat dihasilkandari peraturan perundang-undangan yang telah ditentukan sebelumnya.</w:t>
      </w:r>
      <w:r w:rsidRPr="002B0EFC">
        <w:rPr>
          <w:rFonts w:ascii="Book Antiqua" w:hAnsi="Book Antiqua" w:cs="Arial"/>
          <w:sz w:val="24"/>
          <w:szCs w:val="24"/>
          <w:vertAlign w:val="superscript"/>
        </w:rPr>
        <w:footnoteReference w:id="372"/>
      </w:r>
      <w:r w:rsidRPr="002B0EFC">
        <w:rPr>
          <w:rFonts w:ascii="Book Antiqua" w:hAnsi="Book Antiqua" w:cs="Arial"/>
          <w:sz w:val="24"/>
          <w:szCs w:val="24"/>
        </w:rPr>
        <w:t xml:space="preserve"> P</w:t>
      </w:r>
      <w:r w:rsidRPr="002B0EFC">
        <w:rPr>
          <w:rFonts w:ascii="Book Antiqua" w:eastAsia="Times New Roman" w:hAnsi="Book Antiqua" w:cs="Arial"/>
          <w:sz w:val="24"/>
          <w:szCs w:val="24"/>
        </w:rPr>
        <w:t>enggunaan sarana penalaran akal dalam mengembangkan epistemologi positivisme hukumdapat memberikan kepastian hukum,</w:t>
      </w:r>
      <w:r w:rsidRPr="002B0EFC">
        <w:rPr>
          <w:rStyle w:val="FootnoteReference"/>
          <w:rFonts w:ascii="Book Antiqua" w:eastAsia="Times New Roman" w:hAnsi="Book Antiqua" w:cs="Arial"/>
          <w:sz w:val="24"/>
          <w:szCs w:val="24"/>
        </w:rPr>
        <w:footnoteReference w:id="373"/>
      </w:r>
      <w:r w:rsidRPr="002B0EFC">
        <w:rPr>
          <w:rFonts w:ascii="Book Antiqua" w:eastAsia="Times New Roman" w:hAnsi="Book Antiqua" w:cs="Arial"/>
          <w:sz w:val="24"/>
          <w:szCs w:val="24"/>
        </w:rPr>
        <w:t xml:space="preserve"> karena menggunakan teori hukum murni yang diperoleh </w:t>
      </w:r>
      <w:r w:rsidRPr="002B0EFC">
        <w:rPr>
          <w:rFonts w:ascii="Book Antiqua" w:eastAsia="Times New Roman" w:hAnsi="Book Antiqua" w:cs="Arial"/>
          <w:sz w:val="24"/>
          <w:szCs w:val="24"/>
        </w:rPr>
        <w:lastRenderedPageBreak/>
        <w:t>melalui penalaran logis secara rasional yang terpisah dari realitas sosial masyarakat dan anasir-anasir yang bersifat metayuridis.</w:t>
      </w:r>
      <w:r w:rsidRPr="002B0EFC">
        <w:rPr>
          <w:rStyle w:val="FootnoteReference"/>
          <w:rFonts w:ascii="Book Antiqua" w:eastAsia="Times New Roman" w:hAnsi="Book Antiqua" w:cs="Arial"/>
          <w:sz w:val="24"/>
          <w:szCs w:val="24"/>
        </w:rPr>
        <w:footnoteReference w:id="374"/>
      </w:r>
      <w:r w:rsidRPr="002B0EFC">
        <w:rPr>
          <w:rFonts w:ascii="Book Antiqua" w:eastAsia="Times New Roman" w:hAnsi="Book Antiqua" w:cs="Arial"/>
          <w:sz w:val="24"/>
          <w:szCs w:val="24"/>
        </w:rPr>
        <w:t xml:space="preserve"> Berdasarkan pemahaman terhadap nilai kemanfaatan epistemologi hukum tersebut, juga tampak kelemahan dari hasil cara pandang akal dalam memahami hukum sebagai sistem norma positif dalam peraturan perundang-undangan. Hukum hanya dipahami secara sempit dalam logika sistem norma hukum positif peraturan perundang-undnagan, bahkan rasionalitas akal dalam hukum telah mereduksi nilai kemanfaatan hukum hanya untuk mencapai kepastian belaka.</w:t>
      </w:r>
      <w:r w:rsidRPr="002B0EFC">
        <w:rPr>
          <w:rFonts w:ascii="Book Antiqua" w:hAnsi="Book Antiqua" w:cs="Arial"/>
          <w:sz w:val="24"/>
          <w:szCs w:val="24"/>
        </w:rPr>
        <w:t xml:space="preserve"> Oleh karena itu, </w:t>
      </w:r>
      <w:r w:rsidRPr="002B0EFC">
        <w:rPr>
          <w:rFonts w:ascii="Book Antiqua" w:eastAsia="Times New Roman" w:hAnsi="Book Antiqua" w:cs="Arial"/>
          <w:sz w:val="24"/>
          <w:szCs w:val="24"/>
        </w:rPr>
        <w:t xml:space="preserve">hukum menjadi kaku dan sulit untuk menerima perubahan.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3). Kelebihan dan kelemahan hati nurani dalam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Hati nurani sebagai sarana penalaran untuk mengembangkan epistemologi ilmu pengetahuan, termasuk ilmu hukum, memiliki beberapa kelebihan, yaitu dapat menangkap objek yang tidak hanya berwujud secara fisik dan abstrak dalam ide-ide logis, tetapi juga mampu merasakan objek secara utuh, tetap dan menyeluruh dalam benak batin.</w:t>
      </w:r>
      <w:r w:rsidRPr="002B0EFC">
        <w:rPr>
          <w:rStyle w:val="FootnoteReference"/>
          <w:rFonts w:ascii="Book Antiqua" w:hAnsi="Book Antiqua" w:cs="Arial"/>
          <w:sz w:val="24"/>
          <w:szCs w:val="24"/>
        </w:rPr>
        <w:footnoteReference w:id="375"/>
      </w:r>
      <w:r w:rsidRPr="002B0EFC">
        <w:rPr>
          <w:rFonts w:ascii="Book Antiqua" w:eastAsia="Times New Roman" w:hAnsi="Book Antiqua" w:cs="Arial"/>
          <w:sz w:val="24"/>
          <w:szCs w:val="24"/>
        </w:rPr>
        <w:t>Hal ini karena hati nurani merupakan pengalaman puncak sebagai pembentuk pengetahuan yang benar bagi manusia (</w:t>
      </w:r>
      <w:r w:rsidRPr="002B0EFC">
        <w:rPr>
          <w:rFonts w:ascii="Book Antiqua" w:eastAsia="Times New Roman" w:hAnsi="Book Antiqua" w:cs="Arial"/>
          <w:i/>
          <w:sz w:val="24"/>
          <w:szCs w:val="24"/>
        </w:rPr>
        <w:t>peak experience</w:t>
      </w:r>
      <w:r w:rsidRPr="002B0EFC">
        <w:rPr>
          <w:rFonts w:ascii="Book Antiqua" w:eastAsia="Times New Roman" w:hAnsi="Book Antiqua" w:cs="Arial"/>
          <w:sz w:val="24"/>
          <w:szCs w:val="24"/>
        </w:rPr>
        <w:t>),</w:t>
      </w:r>
      <w:r w:rsidRPr="002B0EFC">
        <w:rPr>
          <w:rFonts w:ascii="Book Antiqua" w:eastAsia="Times New Roman" w:hAnsi="Book Antiqua" w:cs="Arial"/>
          <w:sz w:val="24"/>
          <w:szCs w:val="24"/>
          <w:vertAlign w:val="superscript"/>
        </w:rPr>
        <w:footnoteReference w:id="376"/>
      </w:r>
      <w:r w:rsidRPr="002B0EFC">
        <w:rPr>
          <w:rFonts w:ascii="Book Antiqua" w:eastAsia="Times New Roman" w:hAnsi="Book Antiqua" w:cs="Arial"/>
          <w:sz w:val="24"/>
          <w:szCs w:val="24"/>
        </w:rPr>
        <w:t xml:space="preserve"> selain itu hati nurani dipahami sebagai suatu inteligensi dari kemampuan manusia yang paling tinggi.</w:t>
      </w:r>
      <w:r w:rsidRPr="002B0EFC">
        <w:rPr>
          <w:rFonts w:ascii="Book Antiqua" w:eastAsia="Times New Roman" w:hAnsi="Book Antiqua" w:cs="Arial"/>
          <w:sz w:val="24"/>
          <w:szCs w:val="24"/>
          <w:vertAlign w:val="superscript"/>
        </w:rPr>
        <w:footnoteReference w:id="377"/>
      </w:r>
      <w:r w:rsidRPr="002B0EFC">
        <w:rPr>
          <w:rFonts w:ascii="Book Antiqua" w:eastAsia="Times New Roman" w:hAnsi="Book Antiqua" w:cs="Arial"/>
          <w:sz w:val="24"/>
          <w:szCs w:val="24"/>
        </w:rPr>
        <w:t xml:space="preserve"> Dengan demikian, hati nurani dapat digunakan untuk menangkap objek hukum yang tersembunyi dalam benak perasaan manusia, seperti dalam pemahaman hukum kodrat yang juga menggunakan sarana penalaran hati nurani untuk mengembangkan epistemologinya. Hati nurani dalam epistemologi ilmu pengetahuan, termasuk dalam ilmu hukum juga memiliki beberapa kelemahan, seperti kesulitan dalam menjelaskan atau membuktikan secara ojektif dan rasional terkait dengan objek yang dimaksud. Perasaan yang menjadi objek kajian utama dalam hati nurani hanya dapat dirasakan oleh orang-orang tertentu yang mampu melakukan olah batin, seperti kaum sufi.</w:t>
      </w:r>
      <w:r w:rsidRPr="002B0EFC">
        <w:rPr>
          <w:rStyle w:val="FootnoteReference"/>
          <w:rFonts w:ascii="Book Antiqua" w:hAnsi="Book Antiqua" w:cs="Arial"/>
          <w:sz w:val="24"/>
          <w:szCs w:val="24"/>
        </w:rPr>
        <w:footnoteReference w:id="378"/>
      </w:r>
      <w:r w:rsidRPr="002B0EFC">
        <w:rPr>
          <w:rFonts w:ascii="Book Antiqua" w:eastAsia="Times New Roman" w:hAnsi="Book Antiqua" w:cs="Arial"/>
          <w:sz w:val="24"/>
          <w:szCs w:val="24"/>
        </w:rPr>
        <w:t xml:space="preserve"> Oleh karena itu, hati nurani dalam </w:t>
      </w:r>
      <w:r w:rsidRPr="002B0EFC">
        <w:rPr>
          <w:rFonts w:ascii="Book Antiqua" w:eastAsia="Times New Roman" w:hAnsi="Book Antiqua" w:cs="Arial"/>
          <w:sz w:val="24"/>
          <w:szCs w:val="24"/>
        </w:rPr>
        <w:lastRenderedPageBreak/>
        <w:t>hukum juga mengalami kesulitan dalam memahami dan menjelaskan objek hukum yang dimaksud.</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Metode intuisi yang digunakan hati nurani memiliki kelebihan, karena memiliki tingkatan yang lebih tinggi yang tidak terjangkau oleh akal dan indera manusia. Hati nurani juga memiliki metode khusus yang menunjukkan dirinya sebagai intelegensi tertinggi dan pengalaman puncak, yaitu dengan melakukan olah batin melalui jalan sufi seperti dalam Islam. Jalan sufi untuk menuju kehidupan</w:t>
      </w:r>
      <w:r w:rsidRPr="002B0EFC">
        <w:rPr>
          <w:rFonts w:ascii="Book Antiqua" w:eastAsia="Times New Roman" w:hAnsi="Book Antiqua" w:cs="Arial"/>
          <w:i/>
          <w:sz w:val="24"/>
          <w:szCs w:val="24"/>
        </w:rPr>
        <w:t>ma’rifat</w:t>
      </w:r>
      <w:r w:rsidRPr="002B0EFC">
        <w:rPr>
          <w:rFonts w:ascii="Book Antiqua" w:eastAsia="Times New Roman" w:hAnsi="Book Antiqua" w:cs="Arial"/>
          <w:sz w:val="24"/>
          <w:szCs w:val="24"/>
        </w:rPr>
        <w:t>menurut al-Ghazali harus ditempuh dengan menjalani hidup menyendiri, diam, menahan lapar dan tidak tidur malam hari, tobat, sabar, fakir, zuhud dan tawakal.</w:t>
      </w:r>
      <w:r w:rsidRPr="002B0EFC">
        <w:rPr>
          <w:rStyle w:val="FootnoteReference"/>
          <w:rFonts w:ascii="Book Antiqua" w:eastAsia="Times New Roman" w:hAnsi="Book Antiqua" w:cs="Times New Roman"/>
          <w:sz w:val="24"/>
          <w:szCs w:val="24"/>
          <w:lang w:eastAsia="en-GB"/>
        </w:rPr>
        <w:footnoteReference w:id="379"/>
      </w:r>
      <w:r w:rsidRPr="002B0EFC">
        <w:rPr>
          <w:rFonts w:ascii="Book Antiqua" w:eastAsia="Times New Roman" w:hAnsi="Book Antiqua" w:cs="Arial"/>
          <w:sz w:val="24"/>
          <w:szCs w:val="24"/>
        </w:rPr>
        <w:t xml:space="preserve"> Metode olah batin hati nurani tersebut dapat menghantarkan manusia untuk mencapai kebenaran tertinggi melalui percikan ruhaniah Ketuhanan, karena dalam hal ini Tuhan secara langsung yang memberikan pengetahuan.</w:t>
      </w:r>
      <w:r w:rsidRPr="002B0EFC">
        <w:rPr>
          <w:rStyle w:val="FootnoteReference"/>
          <w:rFonts w:ascii="Book Antiqua" w:eastAsia="Times New Roman" w:hAnsi="Book Antiqua" w:cs="Times New Roman"/>
          <w:sz w:val="24"/>
          <w:szCs w:val="24"/>
          <w:lang w:eastAsia="en-GB"/>
        </w:rPr>
        <w:footnoteReference w:id="380"/>
      </w:r>
      <w:r w:rsidRPr="002B0EFC">
        <w:rPr>
          <w:rFonts w:ascii="Book Antiqua" w:eastAsia="Times New Roman" w:hAnsi="Book Antiqua" w:cs="Arial"/>
          <w:sz w:val="24"/>
          <w:szCs w:val="24"/>
        </w:rPr>
        <w:t xml:space="preserve"> Metode tersebut pada dasarnya dapat digunakan untuk memperoleh ilmu pengetahuan secara umum, termasuk dalam ilmu hukum, sehingga hukum memiliki metode yang lebih tinggi tidak terjangkau oleh indera dan akal sebagai intelegensi tertinggi dan pengalaman puncak. Metode intuisi atau olah batin dari hati nurani juga memiliki kelemahan, seperti metode ini tidak populer dalam kalangan ilmiah, sehingga metode ini sering diabaikan dan tidak digunakan dalam pengembangan ilmu pengetahuan, termasuk dalam ilmu hukum. metode intuisi atau olah batin ini juga sulit untuk dilakukan semua orang, karena harus mengikuti jalan hidup seperti kaum sufi. Intuisi atau olah batin sebagai metode hati nurani dalam memperoleh pengetahuan bersifat </w:t>
      </w:r>
      <w:r w:rsidRPr="002B0EFC">
        <w:rPr>
          <w:rFonts w:ascii="Book Antiqua" w:hAnsi="Book Antiqua" w:cs="Arial"/>
          <w:i/>
          <w:sz w:val="24"/>
          <w:szCs w:val="24"/>
        </w:rPr>
        <w:t>swaobjektif</w:t>
      </w:r>
      <w:r w:rsidRPr="002B0EFC">
        <w:rPr>
          <w:rFonts w:ascii="Book Antiqua" w:hAnsi="Book Antiqua" w:cs="Arial"/>
          <w:sz w:val="24"/>
          <w:szCs w:val="24"/>
        </w:rPr>
        <w:t xml:space="preserve"> yang hanya dapat dirasakan diri sendiri secara pribadi, sehingga hal ini sulit untuk dijelaskan secara umum</w:t>
      </w:r>
      <w:r w:rsidRPr="002B0EFC">
        <w:rPr>
          <w:rFonts w:ascii="Book Antiqua" w:eastAsia="Times New Roman" w:hAnsi="Book Antiqua" w:cs="Arial"/>
          <w:sz w:val="24"/>
          <w:szCs w:val="24"/>
        </w:rPr>
        <w:t>.</w:t>
      </w:r>
      <w:r w:rsidRPr="002B0EFC">
        <w:rPr>
          <w:rStyle w:val="FootnoteReference"/>
          <w:rFonts w:ascii="Book Antiqua" w:hAnsi="Book Antiqua" w:cs="Arial"/>
          <w:sz w:val="24"/>
          <w:szCs w:val="24"/>
        </w:rPr>
        <w:footnoteReference w:id="381"/>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Kemanfaatan epistemologi ilmu hukum yang menggunakan sarana penalaran hati nurani memiliki kelebihanuntuk memahami hukum yang terdapat dalam perasaan batin, sehingga tidak dapat dibohongi. Artinya dalam diri pribadi manusia telah terdapat perasaan yang selalu menuntun pada nilai-nilai yang mendasar hingga menyentuh pada tanggungjawab manusia itu sendiri yang bersifat </w:t>
      </w:r>
      <w:r w:rsidRPr="002B0EFC">
        <w:rPr>
          <w:rFonts w:ascii="Book Antiqua" w:eastAsia="Times New Roman" w:hAnsi="Book Antiqua" w:cs="Arial"/>
          <w:i/>
          <w:sz w:val="24"/>
          <w:szCs w:val="24"/>
        </w:rPr>
        <w:t xml:space="preserve">prima </w:t>
      </w:r>
      <w:r w:rsidRPr="002B0EFC">
        <w:rPr>
          <w:rFonts w:ascii="Book Antiqua" w:eastAsia="Times New Roman" w:hAnsi="Book Antiqua" w:cs="Arial"/>
          <w:i/>
          <w:sz w:val="24"/>
          <w:szCs w:val="24"/>
        </w:rPr>
        <w:lastRenderedPageBreak/>
        <w:t>facie</w:t>
      </w:r>
      <w:r w:rsidRPr="002B0EFC">
        <w:rPr>
          <w:rFonts w:ascii="Book Antiqua" w:eastAsia="Times New Roman" w:hAnsi="Book Antiqua" w:cs="Arial"/>
          <w:sz w:val="24"/>
          <w:szCs w:val="24"/>
        </w:rPr>
        <w:t>, yaitu kewajiban yang pada tahap awal harus berlaku sebelum muncul kewajiban lain yang mengalahkannya.</w:t>
      </w:r>
      <w:r w:rsidRPr="002B0EFC">
        <w:rPr>
          <w:rStyle w:val="FootnoteReference"/>
          <w:rFonts w:ascii="Book Antiqua" w:eastAsia="Times New Roman" w:hAnsi="Book Antiqua" w:cs="Arial"/>
          <w:sz w:val="24"/>
          <w:szCs w:val="24"/>
        </w:rPr>
        <w:footnoteReference w:id="382"/>
      </w:r>
      <w:r w:rsidRPr="002B0EFC">
        <w:rPr>
          <w:rFonts w:ascii="Book Antiqua" w:eastAsia="Times New Roman" w:hAnsi="Book Antiqua" w:cs="Arial"/>
          <w:sz w:val="24"/>
          <w:szCs w:val="24"/>
        </w:rPr>
        <w:t xml:space="preserve"> Hasil dari metode intuisi atau olah batin merupakan hasil dari pengetahuan yang murni tanpa ada tendensi kepentingan, karena datang dari dalam diri yang terbebas dari penilaian kuantitatif mapun kualitatif. Taat hukum bukan karena tunduk pada hukum yang berasal dari luar, melainkan tunduk pada kehendak pribadi dari dalam diri yang diyakini baik. Hati nurani juga memiliki kemanfaatan dapat membuat ketenangan dan ketentraman hidup.Berdasarkan pemahaman terhadap nilai kemanfaatan epistemologi hukum tersebut, juga tampak kelemahan, seperti perasan yang hanya terdapat dalam diri pribadi manusia, sehingga sulit untuk diketahui dan dibuktikan secara umum. Hukum, jika demikian hanya berlaku secara subjektif sesuai dengan perasaan masing-masing. Ketenangan dan ketentraman batindapat mengabaikan yang lain, artinya dalam hukum hal itu dapat mengenyampingkan realitas empiris hukum yang ada dalam pergaulan hidupdi masyarakat dan juga sistem norma hukum positif dalam peraturan perundang-undangan.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w:t>
      </w:r>
      <w:r w:rsidRPr="002B0EFC">
        <w:rPr>
          <w:rFonts w:ascii="Book Antiqua" w:eastAsia="Times New Roman" w:hAnsi="Book Antiqua" w:cs="Arial"/>
          <w:b/>
          <w:i/>
          <w:sz w:val="24"/>
          <w:szCs w:val="24"/>
        </w:rPr>
        <w:t>Take and give</w:t>
      </w:r>
      <w:r w:rsidRPr="002B0EFC">
        <w:rPr>
          <w:rFonts w:ascii="Book Antiqua" w:eastAsia="Times New Roman" w:hAnsi="Book Antiqua" w:cs="Arial"/>
          <w:b/>
          <w:sz w:val="24"/>
          <w:szCs w:val="24"/>
        </w:rPr>
        <w:t>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Dalam konsepkonvergensi epistemologi berkeadaban dalam ilmu hukum,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epistemologi ilmu hukum merupakan tahap yang harus dilakukan guna mencapai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xml:space="preserve"> epistemologi ilmu hukum setelah dilakukan analisis pemahaman terhadap kelebihan dan kelemahan epistemologi ilmu hukum dalam formasi dan struktur epistemologi ilmu hukum. Oleh karena itu,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epistemologi ilmu hukum pada dasarnya merupakan suatu bentuk kajian yang ingin menjelaskan tindak lanjut dari tahap proses sebelumnya yang nantinya dapat digunakan untuk mengambil suatu pemahaman terkait dengan sikap saling memberi dan menerima kelebihan dan kelemahan epistemologi ilmu hukum. Hal ini sangat penting untuk dilakukan dalam membangun sebuah kesepahaman bersama yang saling menguntungkan tanpa menghilangkan pemahaman asli yang dibawa oleh masing-masing sarana penalaran dalam mengembangkan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lastRenderedPageBreak/>
        <w:t xml:space="preserve">Indera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indera harus mauuntuk memberi dan menerima kelebihan dan kelemahan akal dan hati nuranisebagaimana telah disebutkan di atas sebagai sarana penalaran dalam mengembangkan epistemologi ilmu hukum. Artinya dalam hal ini adalah, bahwa kelebihan dan kelemahan yang dimiliki oleh indera sebagai sarana penalaran dalam mengembangkan epistemologi ilmu hukum terkait dengan objek, metode penalaran dan kemanfaatannya diberikan kepada akal dan hati nuranisebagai sarana penalaran dalam mengembangkan epistemologi ilmu hukum dan sebaliknya, bahwa kelebihan dan kelemahan yang dimiliki oleh akal dan hati nurani sebagai sarana penalaran dalam mengembangkan oleh epistemologi ilmu hukum terkait dengan objek, metode penalaran dan kemanfaatannya harus maudiberikan kepada indera.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Akal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akal harus mau untuk memberi dan menerimakelebihan dan kelemahan indera dan hati nuranisebagaimana telah disebutkan di atas sebagai sarana penalaran dalam mengembangkan epistemologi ilmu hukum. Artinya dalam hal ini adalah, bahwakelebihan dan kelemahan yang dimiliki oleh akal sebagai sarana penalaran dalam mengembangkan epistemologi ilmu hukum yang terkait dengan objek, metode penalaran dan kemanfaatannya diberikan kepada indera dan hati nurani sebagai sarana penalaran dalam mengembangkan epistemologi ilmu hukum dan sebaliknya, bahwa kelebihan dan kelemahan yang dimiliki oleh indera dan hati nurani sebagai sarana penalaran dalam mengembangkan epistemologi ilmu hukum yang terkait dengan objek, metode penalaran dan kemanfaatannya harus mau untuk diberikan kepada akal.</w:t>
      </w:r>
    </w:p>
    <w:p w:rsidR="00346169" w:rsidRPr="002B0EFC" w:rsidRDefault="00346169" w:rsidP="00D214B3">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Hati nurani sebagai sarana penalaran dalam mengembangkan epistemologi ilmu hukum memiliki kelebihan dan kelemahan sebagaimana telah dijelaskan di atas, maka dalam proses </w:t>
      </w:r>
      <w:r w:rsidRPr="002B0EFC">
        <w:rPr>
          <w:rFonts w:ascii="Book Antiqua" w:eastAsia="Times New Roman" w:hAnsi="Book Antiqua" w:cs="Arial"/>
          <w:i/>
          <w:sz w:val="24"/>
          <w:szCs w:val="24"/>
        </w:rPr>
        <w:t>take and give</w:t>
      </w:r>
      <w:r w:rsidRPr="002B0EFC">
        <w:rPr>
          <w:rFonts w:ascii="Book Antiqua" w:eastAsia="Times New Roman" w:hAnsi="Book Antiqua" w:cs="Arial"/>
          <w:sz w:val="24"/>
          <w:szCs w:val="24"/>
        </w:rPr>
        <w:t xml:space="preserve"> hati nurani harus mau untukmemberi dan menerima kelebihan dan kelemahan indera dan akalsebagaimana telah disebutkan di atas sebagai sarana penalaran dalam mengembangkan epistemologi ilmu hukum. </w:t>
      </w:r>
      <w:r w:rsidRPr="002B0EFC">
        <w:rPr>
          <w:rFonts w:ascii="Book Antiqua" w:eastAsia="Times New Roman" w:hAnsi="Book Antiqua" w:cs="Arial"/>
          <w:sz w:val="24"/>
          <w:szCs w:val="24"/>
        </w:rPr>
        <w:lastRenderedPageBreak/>
        <w:t>Artinya dalam hal ini adalah, bahwa kelebihan dan kelemahan yang dimiliki oleh hati nurani sebagai sarana penalaran dalam mengembangkan epistemologi ilmu hukum yang terkait dengan objek, metode penalaran dan kemanfaatannya diberikan kepada indera dan akalsebagaisarana penalaran dalam mengembangkan epistemologi ilmu hukum dan sebaliknya, bahwa kelebihan dan kelemahan yang dimiliki oleh indera dan akal sebagai sarana penalaran dalam mengembangkan epistemologi ilmu hukum yang terkait dengan objek, metode penalaran dan kemanfaatannya harus maudiberikan kepada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Dalam konsep konvergensi epistemologi berkeadaban dalam ilmu hukum, tidak hanya cukup dengan memahami keadaan yang ada pada epistemologi ilmu hukum dan kaitannya dengan yang lain tanpa melakukan pembenahan dan pembaruan terhadapnya. Oleh karena itu, diperlukan kemauan sikap untuk saling melakukan perbaikan pemahaman terhadap epistemologi ilmu hukum terkait dengan objek, metode penalaran dan kemanfaatan epistemologi ilmu hukum yang ada. Dalam melakukan upaya perbaikan epistemologi ilmu hukum tersebut dilakukan dengan melibatkan seluruh sarana penalaran dalam mengembangkan epistemologi ilmu hukum sebagaimana yang terdapat dalam berbagai aliran teori hukum, sehingga dari proses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xml:space="preserve"> tersebut akan diperoleh konseppemahaman epistemologi ilmu hukum yang merupakan satu kesatuan titik temu dari keseluruhan sarana penalaran dalam mengembangkan epistemologi ilmu hukum yang ada untuk membentuk suatu kesempurnaan nalar manusia sesuai dengan petunjuk Tuhan.Hal ini merupakan cara pandang hukum yang bijak dalam menyikapi segala konflik pergulatan hukum yang terjadi dalam kehidupan manusia. Dengan demikian, terhadap kebenaran yang dihasilkan dalam proses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xml:space="preserve"> epistemologi ilmu hukum tersebut akan lebih utuh, komprehensif dan bijak hingga mencapai kebenaran tertinggi.</w:t>
      </w:r>
      <w:r w:rsidRPr="002B0EFC">
        <w:rPr>
          <w:rFonts w:ascii="Book Antiqua" w:hAnsi="Book Antiqua"/>
          <w:sz w:val="24"/>
          <w:szCs w:val="24"/>
        </w:rPr>
        <w:t xml:space="preserve">Konsepperbaikan hukum ini hampir sama dengan apa yang disampaikan oleh Toby J. Heytens </w:t>
      </w:r>
      <w:bookmarkStart w:id="0" w:name="_GoBack"/>
      <w:bookmarkEnd w:id="0"/>
      <w:r w:rsidRPr="002B0EFC">
        <w:rPr>
          <w:rFonts w:ascii="Book Antiqua" w:hAnsi="Book Antiqua"/>
          <w:sz w:val="24"/>
          <w:szCs w:val="24"/>
        </w:rPr>
        <w:t xml:space="preserve">terkait perlunya perubahan hukum dalam mengatasi permasalahan hukum yang tidak gampang </w:t>
      </w:r>
      <w:r w:rsidRPr="002B0EFC">
        <w:rPr>
          <w:rFonts w:ascii="Book Antiqua" w:eastAsia="Times New Roman" w:hAnsi="Book Antiqua" w:cs="Arial"/>
          <w:sz w:val="24"/>
          <w:szCs w:val="24"/>
        </w:rPr>
        <w:t>di tengah kompleksitas permasalahan.</w:t>
      </w:r>
      <w:r w:rsidRPr="002B0EFC">
        <w:rPr>
          <w:rStyle w:val="FootnoteReference"/>
          <w:rFonts w:ascii="Book Antiqua" w:eastAsia="Times New Roman" w:hAnsi="Book Antiqua" w:cs="Arial"/>
          <w:sz w:val="24"/>
          <w:szCs w:val="24"/>
        </w:rPr>
        <w:footnoteReference w:id="383"/>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lastRenderedPageBreak/>
        <w:t xml:space="preserve">a.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objek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Dalam setiap melakukan kajian terhadap epistemologi ilmu hukum, maka hal pertama kali yang penting untuk dilakukan adalah mengenali objek hukum itu sendiri. Sebagai bahan dasar untuk melangkah, objek hukum dapat dipandang atau dipahami dari berbagai sudut yang berbedasesuai dengan sarana penalaran utama dalam mengembangkan epistemologi ilmu hukum yang dipakai. Objek biasanya tertangkap oleh sarana penalaran dalam mengembangkan epistemologi ilmu hukum yang memiliki kedekatan kriteria dengan karakteristik yang terdapat dalam objek hukum tersebut. Seperti ketikamelihat realitas hukum empiris yang dipraktekkan dalam tradisi kehidupan masyarakat, maka secara kebiasaan hal itu akan menjadi objek kajian utama dalam epistemologi ilmu hukum yang dikembangkan dengan sarana penalaran indera atau ketika memahami hukum sebagai sistem norma hukum positif dalam peraturan perundang-undangan, maka akan lebih cenderung untuk diarahkan pada pemahaman epistemologi ilmu hukum yang dikembangkan dengan sarana penalaran akal secara rasional seperti dalam aliran positivisme hukum. Akan tetapi cara pandang atau pemahaman demikian terhadap objek epistemologi ilmu hukum tidaklah benar, karena sesuai dengan formasi dan struktur epistemologi yang ada pada manusia, maka terhadap objek hukum seharusnya dapat dipandang dan dipahami dari seluruh sarana penalaran utama dalam mengembangkan epistemologi ilmu hukum, baik karena memiliki kedekatan kriteria dengan karakteristik yang terdapat dalam objek hukum tersebut maupun secara aktif untuk melibatkan sarana penalaran dalam mengembangkan utama epistemologi ilmu hukum yang lain dalam memandang dan memahami objek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1).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 xml:space="preserve">terhadap objek epistemologi ilmu hukum dari penalaran indera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Realitas empiris pergaulan hidup di masyarakat yang berupa tradisi kebiasaan yang dipandang sebagai objekepistemologi ilmu hukum yang dikembangkan dengan sarana penalaran utama indera sebagaimana dalam mahzab sejarah hukum sebenarnya dapat diperbaiki dengan cara pandang epistemologi ilmu hukum yang dikembangkan dengan sarana penalaran akal untuk mendukung kesesuaiannya dengan hukum yang terdapat dalam sistem norma hukum positif </w:t>
      </w:r>
      <w:r w:rsidRPr="002B0EFC">
        <w:rPr>
          <w:rFonts w:ascii="Book Antiqua" w:eastAsia="Times New Roman" w:hAnsi="Book Antiqua" w:cs="Arial"/>
          <w:sz w:val="24"/>
          <w:szCs w:val="24"/>
        </w:rPr>
        <w:lastRenderedPageBreak/>
        <w:t>dalam peraturan perundang-undangan sebagaimana dalam aliran positivisme hukum. Indera sebagai sarana penalaran dalam mengembangkan epistemologi ilmu pengetahuan menurut John Lukce,</w:t>
      </w:r>
      <w:r w:rsidRPr="002B0EFC">
        <w:rPr>
          <w:rStyle w:val="FootnoteReference"/>
          <w:rFonts w:ascii="Book Antiqua" w:eastAsia="Times New Roman" w:hAnsi="Book Antiqua" w:cs="Arial"/>
          <w:sz w:val="24"/>
          <w:szCs w:val="24"/>
        </w:rPr>
        <w:footnoteReference w:id="384"/>
      </w:r>
      <w:r w:rsidRPr="002B0EFC">
        <w:rPr>
          <w:rFonts w:ascii="Book Antiqua" w:eastAsia="Times New Roman" w:hAnsi="Book Antiqua" w:cs="Arial"/>
          <w:sz w:val="24"/>
          <w:szCs w:val="24"/>
        </w:rPr>
        <w:t xml:space="preserve"> dan Ikhwan al-Shafa,</w:t>
      </w:r>
      <w:r w:rsidRPr="002B0EFC">
        <w:rPr>
          <w:rStyle w:val="FootnoteReference"/>
          <w:rFonts w:ascii="Book Antiqua" w:eastAsia="Times New Roman" w:hAnsi="Book Antiqua" w:cs="Arial"/>
          <w:sz w:val="24"/>
          <w:szCs w:val="24"/>
        </w:rPr>
        <w:footnoteReference w:id="385"/>
      </w:r>
      <w:r w:rsidRPr="002B0EFC">
        <w:rPr>
          <w:rFonts w:ascii="Book Antiqua" w:eastAsia="Times New Roman" w:hAnsi="Book Antiqua" w:cs="Arial"/>
          <w:sz w:val="24"/>
          <w:szCs w:val="24"/>
        </w:rPr>
        <w:t>merupakan suatu permulaan dari segala pengenalan terhadap apa yang dipandang benar dari objek ilmu pengetahuan yang bersifat konkrit dan nyata. Dalam ilmu hukum, hal ini sebagaimana cara pandang mahzab sejarah hukum yang melihat objek hukum sebagai bentuk dari pergaulan hidup di masyarakat yang berupa tradisi kebiasaan.</w:t>
      </w:r>
      <w:r w:rsidRPr="002B0EFC">
        <w:rPr>
          <w:rStyle w:val="FootnoteReference"/>
          <w:rFonts w:ascii="Book Antiqua" w:eastAsia="Times New Roman" w:hAnsi="Book Antiqua" w:cs="Arial"/>
          <w:sz w:val="24"/>
          <w:szCs w:val="24"/>
        </w:rPr>
        <w:footnoteReference w:id="386"/>
      </w:r>
      <w:r w:rsidRPr="002B0EFC">
        <w:rPr>
          <w:rFonts w:ascii="Book Antiqua" w:eastAsia="Times New Roman" w:hAnsi="Book Antiqua" w:cs="Arial"/>
          <w:sz w:val="24"/>
          <w:szCs w:val="24"/>
        </w:rPr>
        <w:t>Cara pandang terhadap objek hukum tersebut tentu masih menimbulkan pertanyaan, karena pergaulan hidup di masyarakat yang berupa tradisi kebiasaan yang dipandang sebagai objek mahzab sejarah hukum hanya mampu dilihat oleh epistemologi ilmu hukum yang dikembangkan dengan sarana penalaran indera dari wujud luar secara lahir, belum sampai pada pemahaman yang bersifat abstrak dalam ide dan perasaan batin. Oleh karena itu, untuk memperbaiki cara pandang terhadap objek hukum tersebut diperlukan epistemologi ilmu hukum yang dikembangkan dengan sarana penalaran akal yang tidak hanya mampu memahami objek hukum yang berwujud nyata, tetapi juga bersifat abstrak dalam bentuk ide ataukonsep logis dari pemikiran hukum yang terdapat dalam sistem norma hukum positif peraturan perundang-undangan sebagaimana dalam aliran positivisme hukum.</w:t>
      </w:r>
      <w:r w:rsidRPr="002B0EFC">
        <w:rPr>
          <w:rStyle w:val="FootnoteReference"/>
          <w:rFonts w:ascii="Book Antiqua" w:eastAsia="Times New Roman" w:hAnsi="Book Antiqua" w:cs="Arial"/>
          <w:sz w:val="24"/>
          <w:szCs w:val="24"/>
        </w:rPr>
        <w:footnoteReference w:id="387"/>
      </w:r>
      <w:r w:rsidRPr="002B0EFC">
        <w:rPr>
          <w:rFonts w:ascii="Book Antiqua" w:eastAsia="Times New Roman" w:hAnsi="Book Antiqua" w:cs="Arial"/>
          <w:sz w:val="24"/>
          <w:szCs w:val="24"/>
        </w:rPr>
        <w:t xml:space="preserve">Tradisi kebiasaan dalam pergaulan hidup di masyarakat harus dilihat dari sudut pandang sistem norma positif dalam peraturan perundang-undangan, apakah terhadapnya terjadi bertentangan, sehingga harus dilakukan perbaikan. Dengan demikian, maka terhadap objek hukum yang berupa tradisi kebiasaan dalam pergaulan hidup di masyarakat memiliki kesesuaian dengan objek hukumyang terdapat dalam sistem norma hukum positif dalam peraturan perundang-undangan.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Objek hukum yang berupa tradisi kebiasaan dalam pergaulan hidup di masyarakat juga dapat diperbaiki dengan cara pandang epistemologi ilmu hukum yang dikembangkan dengan sarana penalaran hati nurani untuk mendukung </w:t>
      </w:r>
      <w:r w:rsidRPr="002B0EFC">
        <w:rPr>
          <w:rFonts w:ascii="Book Antiqua" w:eastAsia="Times New Roman" w:hAnsi="Book Antiqua" w:cs="Arial"/>
          <w:sz w:val="24"/>
          <w:szCs w:val="24"/>
        </w:rPr>
        <w:lastRenderedPageBreak/>
        <w:t>kesesuaiannya dengan perasaan hukum yang terdapat dalambenak batin manusia. Epistemologi ilmu pengetahuan yang dikembangkan dengan sarana penalaran indera seperti dikemukakan Ikhwan al-Shafa</w:t>
      </w:r>
      <w:r w:rsidRPr="002B0EFC">
        <w:rPr>
          <w:rStyle w:val="FootnoteReference"/>
          <w:rFonts w:ascii="Book Antiqua" w:eastAsia="Times New Roman" w:hAnsi="Book Antiqua" w:cs="Arial"/>
          <w:sz w:val="24"/>
          <w:szCs w:val="24"/>
        </w:rPr>
        <w:footnoteReference w:id="388"/>
      </w:r>
      <w:r w:rsidRPr="002B0EFC">
        <w:rPr>
          <w:rFonts w:ascii="Book Antiqua" w:eastAsia="Times New Roman" w:hAnsi="Book Antiqua" w:cs="Arial"/>
          <w:sz w:val="24"/>
          <w:szCs w:val="24"/>
        </w:rPr>
        <w:t xml:space="preserve"> dan Francis Bacon</w:t>
      </w:r>
      <w:r w:rsidRPr="002B0EFC">
        <w:rPr>
          <w:rStyle w:val="FootnoteReference"/>
          <w:rFonts w:ascii="Book Antiqua" w:eastAsia="Times New Roman" w:hAnsi="Book Antiqua" w:cs="Arial"/>
          <w:sz w:val="24"/>
          <w:szCs w:val="24"/>
        </w:rPr>
        <w:footnoteReference w:id="389"/>
      </w:r>
      <w:r w:rsidRPr="002B0EFC">
        <w:rPr>
          <w:rFonts w:ascii="Book Antiqua" w:eastAsia="Times New Roman" w:hAnsi="Book Antiqua" w:cs="Arial"/>
          <w:sz w:val="24"/>
          <w:szCs w:val="24"/>
        </w:rPr>
        <w:t xml:space="preserve"> yang mengukuhkan teori empirisme hanya mengakui objek yang berwujud riil dapat ditangkap oleh indera manusia. Hal ini berarti mensyaratkan adanya bentuk materi yang bersifat lahiriah (benda yang teramati secara fisik). Dalam ilmu hukum, hal ini sebagaimana cara pandang mahzab sejarah hukum yang memandang objek hukum sebagai tradisi kebiasaan dalam pergaulan hidup di masyarakat.</w:t>
      </w:r>
      <w:r w:rsidRPr="002B0EFC">
        <w:rPr>
          <w:rStyle w:val="FootnoteReference"/>
          <w:rFonts w:ascii="Book Antiqua" w:eastAsia="Times New Roman" w:hAnsi="Book Antiqua" w:cs="Arial"/>
          <w:sz w:val="24"/>
          <w:szCs w:val="24"/>
        </w:rPr>
        <w:footnoteReference w:id="390"/>
      </w:r>
      <w:r w:rsidRPr="002B0EFC">
        <w:rPr>
          <w:rFonts w:ascii="Book Antiqua" w:eastAsia="Times New Roman" w:hAnsi="Book Antiqua" w:cs="Arial"/>
          <w:sz w:val="24"/>
          <w:szCs w:val="24"/>
        </w:rPr>
        <w:t>Hal ini dapat menimbulkan pandangan yang menyerahkan kebenaran hukum pada realitas empiris di masyarakat. Cara pandang terhadap objek hukum semacam ini tentu menimbulkan permasalahan, karena hanya  melihat dari luarnya saja, belum menyentuh dalam perasaan batin hati nurani. Oleh karena itu, untuk memperbaiki cara pandang terhadap objek hukum tersebut diperlukan epistemologi ilmu hukum yang dikembangkan dengan sarana penalaran hati nurani yang mampu memahami objek hukum dalam perasaan batin hati nurani. Tradisi kebiasaan dalam pergaulan masyarakat yang dipandang sebagai objek mahzab sejarah hukum harus dirasakan dengan perasaan batin, apakah terhadapnya bertentangan, sehingga harus dilakukan perbaikan terhadapnya. Dengan demikian, maka terhadap objek yang berupa tradisi kebiasaan dalam pergaulan masyarakat memiliki kesesuaian dengan perasaanyang terdapat dalam benak batin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objek epistemologi ilmu hukum dari penalaran akal</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Objek epistemologi ilmu hukum yang dikembangkan dengan sarana penalaran akal secara rasional seperti yang terdapat dalam sistem norma hukum positif peraturan perundang-undangan sebagaimana dalam aliran positivisme hukum sebenarnya dapat diperbaiki dengan cara pandang epistemologi ilmu hukumyang dikembangkan dengan sarana penalaran indera secara empiris untuk mendukung kesesuaiannya dengan tradisi kebiasaan dalam pergaulan masyarakat sebagaimana dalam mahzab sejarah hukum. Akal sebagai sarana penalaran dalam </w:t>
      </w:r>
      <w:r w:rsidRPr="002B0EFC">
        <w:rPr>
          <w:rFonts w:ascii="Book Antiqua" w:eastAsia="Times New Roman" w:hAnsi="Book Antiqua" w:cs="Arial"/>
          <w:sz w:val="24"/>
          <w:szCs w:val="24"/>
        </w:rPr>
        <w:lastRenderedPageBreak/>
        <w:t>mengembangkan epistemologi ilmu pengetahuan sebagaimana dikatakan menurut Plato hanya mengakui kebenaran pengetahuan yang bersifat tetap dan tidak berubah-ubah. Dalam ilmu hukum, hal ini seperti cara pandang aliran positivisme hukum yang memandang objek hukum sebagai sistem norma hukum positif dalam peraturan perundang-undangan.</w:t>
      </w:r>
      <w:r w:rsidRPr="002B0EFC">
        <w:rPr>
          <w:rStyle w:val="FootnoteReference"/>
          <w:rFonts w:ascii="Book Antiqua" w:eastAsia="Times New Roman" w:hAnsi="Book Antiqua" w:cs="Arial"/>
          <w:sz w:val="24"/>
          <w:szCs w:val="24"/>
        </w:rPr>
        <w:footnoteReference w:id="391"/>
      </w:r>
      <w:r w:rsidRPr="002B0EFC">
        <w:rPr>
          <w:rFonts w:ascii="Book Antiqua" w:eastAsia="Times New Roman" w:hAnsi="Book Antiqua" w:cs="Arial"/>
          <w:sz w:val="24"/>
          <w:szCs w:val="24"/>
        </w:rPr>
        <w:t>Pemahaman terhadap objek hukum semacam ini tentu masih menimbulkan permasalahan, karena hukum hanyasistem norma hukum positif dalam peraturan perundang-undangan, tidak mau melihat tradisi kebiasaan pergaulan dalam kehidupan masyarakat, sehingga hukum cenderung ketinggalan dan tidak mampu mengikuti perubahan yang terjadi. Oleh karena itu, untuk memperbaiki cara pandang terhadap objek hukum tersebut diperlukan epistemologi ilmu hukum yang dikembangkan melalui sarana penalaran indera yang mampu memahami objek hukum yang berubah-ubah sesuai dengan dinamika perkembangan masyarakat sebagaimana dalam mahzab sejarah hukum.</w:t>
      </w:r>
      <w:r w:rsidRPr="002B0EFC">
        <w:rPr>
          <w:rStyle w:val="FootnoteReference"/>
          <w:rFonts w:ascii="Book Antiqua" w:eastAsia="Times New Roman" w:hAnsi="Book Antiqua" w:cs="Arial"/>
          <w:sz w:val="24"/>
          <w:szCs w:val="24"/>
        </w:rPr>
        <w:footnoteReference w:id="392"/>
      </w:r>
      <w:r w:rsidRPr="002B0EFC">
        <w:rPr>
          <w:rFonts w:ascii="Book Antiqua" w:eastAsia="Times New Roman" w:hAnsi="Book Antiqua" w:cs="Arial"/>
          <w:sz w:val="24"/>
          <w:szCs w:val="24"/>
        </w:rPr>
        <w:t>Tata aturan dalam logika hukum positif yang bersifat umum dan tetap tersebut harus dilihat dari tradisi kebiasaan dalam pergaulan masyarakat yang berubah-ubah, apakah terhadapnya ada pertentangan, sehingga harus dilakukan perbaikan terhadapnya. Dengan demikian, maka terhadap objek hukum yang bersifat umum dan tetap dalam logika hukum positif memiliki kesesuaian dengan tradisi kebiasaan masyarakat.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Epistemologi ilmu hukum yang dikembangkan dengan sarana penalaran akal yang memiliki objek berupa sistem norma hukum positif dalam peraturan perundang-undangan dapat juga diperbaiki dengan epistemologi ilmu hukum yang dikembangkan melalui sarana penalaran hati nurani secara intuitif untuk mendukung kesesuaiannya dengan perasaan yang terdapat dalam benak batin. Menurut positivisme, hukum merupakan sistem logika tertutup dimana keputusan hukum yang benar dapat dihasilkan dari objek hukum yang berupa peraturan perundang-undangan yang telah ditentukan sebelumnya melalui logika hukum, sehingga tidak ada hubungan antara hukum dengan non-hukum. Peraturan perundang-undangan sebagai objek hukum tidak memiliki keterkaitan dengan </w:t>
      </w:r>
      <w:r w:rsidRPr="002B0EFC">
        <w:rPr>
          <w:rFonts w:ascii="Book Antiqua" w:eastAsia="Times New Roman" w:hAnsi="Book Antiqua" w:cs="Arial"/>
          <w:sz w:val="24"/>
          <w:szCs w:val="24"/>
        </w:rPr>
        <w:lastRenderedPageBreak/>
        <w:t>perasaan, karena keduanya memiliki wilayah objek kajian kerja yang berbeda.Cara pandang terhadap objek hukum semacam ini tentu masih menimbulkan permasalahan, karena peraturan perundang-undangan yang dipandang sebagai objek hukum telah ditentukan dalam sistem logika hukum tertutup yang tidak terkait dengan hati nurani, sehingga terhadap objek hukum yang berupa peraturan perundang-undangan tidak akan pernah mengandung nilai-nilai batiniah. Oleh karena itu, untuk memperbaiki cara pemahaman terhadap objek hukum tersebut diperlukan epistemologi ilmu hukum yang dikembangkan dengan sarana penalaran hati nurani yang mampu memahami objek hukum yang terdapat dalam perasaanbenak batin manusia sebagaimana dalam aliran hukum kodrat. Peraturan perundang-undangan harus dirasakan dengan perasaan batin, apakah bertentangan dengan perasaan hati nurani, sehingga harus dilakukan perbaikan terhadapnya. Dengan demikian, terhadap objek hukum yang berupa peraturan perundang-undangan memiliki kesesuaian dengan perasaan hukumyang terdapat dalam benak batin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objek epistemologi ilmu hukum dari penalaran hati nurani</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Perasaan yang terdapat dalam benak batin manusia yang dipahami sebagai objek dalam epistemologi ilmu hukum yang dikembangkan dengan sarana penalaran hati nurani secara intuitif sebagaimana dalam aliran hukum kodrat sebenarnya dapat diperbaiki dengan cara pandang epistemologi ilmu hukum yang dikembangkan dengan sarana penalaran indera secara empiris untuk mendukung kesesuaiannya dengan tradisi kebiasaan dalam pergaulan masyarakat sebagaimana dalam mahzab sejarah hukum. Cara pandang yang berada dalam perasaan benak hati nurani manusia terhadap objek hukum tidak dapat dipandang secara empiris dan objektif, sehingga hal ini perlu diperbaiki dengan epistemologi ilmu hukum yang dikembangkan dengan sarana penalaran indera yang mampu memahami objek hukum secara konkrit dari tradisi kebiasaan dalam pergaulan masyarakat sebagaimana dalam mahzab sejarah hukum.</w:t>
      </w:r>
      <w:r w:rsidRPr="002B0EFC">
        <w:rPr>
          <w:rStyle w:val="FootnoteReference"/>
          <w:rFonts w:ascii="Book Antiqua" w:eastAsia="Times New Roman" w:hAnsi="Book Antiqua" w:cs="Arial"/>
          <w:sz w:val="24"/>
          <w:szCs w:val="24"/>
        </w:rPr>
        <w:footnoteReference w:id="393"/>
      </w:r>
      <w:r w:rsidRPr="002B0EFC">
        <w:rPr>
          <w:rFonts w:ascii="Book Antiqua" w:eastAsia="Times New Roman" w:hAnsi="Book Antiqua" w:cs="Arial"/>
          <w:sz w:val="24"/>
          <w:szCs w:val="24"/>
        </w:rPr>
        <w:t xml:space="preserve">Perasaan yang terdapat dalam benak batin manusia yang dipahami sebagai objek epistemologi ilmu hukum yang </w:t>
      </w:r>
      <w:r w:rsidRPr="002B0EFC">
        <w:rPr>
          <w:rFonts w:ascii="Book Antiqua" w:eastAsia="Times New Roman" w:hAnsi="Book Antiqua" w:cs="Arial"/>
          <w:sz w:val="24"/>
          <w:szCs w:val="24"/>
        </w:rPr>
        <w:lastRenderedPageBreak/>
        <w:t>dikembangkan dengan sarana penalaran hati nurani harus dilihat dari sudut pandang tradisi kebiasaan dalam pergaulan masyarakat, apakah terhadapnya ada bertentangan, sehingga terhadapnya harus dilakukan perbaikan. Dengan demikian, maka terhadap objek hukum yang berupa perasaan memiliki kesesuaian dengan tradisi kebiasaan pergaulan masyarakat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Objek hukum yang berupa perasaanyang terdapat dalam benak batin manusia juga dapat diperbaiki dengan epistemologi ilmu hukum yang dikembangkan dengan sarana penalaran akal secara rasional untuk mendukung kesesuaiannya dengan hukum yang terdapat dalam sistem norma hukum positif peraturan perundang-undangan sebagaimana dalam aliran positivisme hukum. Cara pemahaman terhadap hukum ini harus diperbaiki dengan epistemologi ilmu hukum yang dikembangkan dengan sarana penalaran akal yang tidak hanya mampu memandang objek hukum bersifat konkrit, tetapi juga dapat menangkap objek hukum yang lebih jelas dan tegas seperti ditentukan dalam peraturan perundang-undangan sebagaimana dalam aliran positivisme hukum yang memiliki nilai lebih akurat dan terukur secara analisis logis. Perasaan yang terdapat dalam benak batinyang dipahami sebagai objek epistemologi ilmu hukum yang dikembangkan dengan sarana penalaran hati nurani harus dipahami dengan peraturan perundang-undangan, agar memiliki objek hukum yang lebih konkrit, jelas dan tegas dengan nilai lebih akurat dan terukur secara analisis logis. Terhadap perasaan hukum tersebut apakah bertentangan, sehingga terhadapnya harus dilakukan perbaikan. Objek hukum yang berupa perasaandengan demikian memiliki kesesuaian dengan peraturan perundang-undangan.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b. </w:t>
      </w:r>
      <w:r w:rsidRPr="002B0EFC">
        <w:rPr>
          <w:rFonts w:ascii="Book Antiqua" w:eastAsia="Times New Roman" w:hAnsi="Book Antiqua" w:cs="Arial"/>
          <w:b/>
          <w:i/>
          <w:sz w:val="24"/>
          <w:szCs w:val="24"/>
        </w:rPr>
        <w:t xml:space="preserve">Improvement </w:t>
      </w:r>
      <w:r w:rsidRPr="002B0EFC">
        <w:rPr>
          <w:rFonts w:ascii="Book Antiqua" w:eastAsia="Times New Roman" w:hAnsi="Book Antiqua" w:cs="Arial"/>
          <w:b/>
          <w:sz w:val="24"/>
          <w:szCs w:val="24"/>
        </w:rPr>
        <w:t>terhadap metode penalaran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Dalam mendapatkan pemahaman kebenaran ilmu hukum dengan baik, maka harus digali melalui sarana penalaran utama yang mendasari epistemologi ilmu hukum tersebut dengan baik, sehingga terhadap kebenaran hukum yang diperoleh bukan hanya bersumber dari salah satu metode penalaran tertentu, tetapi melibatkan seluruh sarana penalaran dalam mengembangkan epistemologi ilmu hukum. Hal ini merupakan bentuk dari upaya untuk memperbaiki pemahaman kebenaran ilmu hukum yang didasari dari proses saling memberi dan menerima </w:t>
      </w:r>
      <w:r w:rsidRPr="002B0EFC">
        <w:rPr>
          <w:rFonts w:ascii="Book Antiqua" w:eastAsia="Times New Roman" w:hAnsi="Book Antiqua" w:cs="Arial"/>
          <w:sz w:val="24"/>
          <w:szCs w:val="24"/>
        </w:rPr>
        <w:lastRenderedPageBreak/>
        <w:t xml:space="preserve">kelebihan dan kelemahan indera, akal dan hati nuranidalam formasi dan struktur epistemologi ilmu hukum. Dalam epistemologi ilmu hukum, metode penalaran menjadi bagian yang sangat pentinguntuk menjelaskan proses bagaimana cara suatu kebenaran ilmu hukum dapat digali dan diperoleh. Upaya untuk melakukan perbaikan epistemologi ilmu hukum tidak dapat lepas dari perkataan bagaimana kita akan memahami cara untuk memperoleh kebenaran hukum tersebut melalui metodologi hukum yang baik, seperti dikemukakan Grace E. Hart dalam </w:t>
      </w:r>
      <w:r w:rsidRPr="002B0EFC">
        <w:rPr>
          <w:rFonts w:ascii="Book Antiqua" w:eastAsia="Times New Roman" w:hAnsi="Book Antiqua" w:cs="Arial"/>
          <w:i/>
          <w:sz w:val="24"/>
          <w:szCs w:val="24"/>
        </w:rPr>
        <w:t>the yale law journal</w:t>
      </w:r>
      <w:r w:rsidRPr="002B0EFC">
        <w:rPr>
          <w:rFonts w:ascii="Book Antiqua" w:eastAsia="Times New Roman" w:hAnsi="Book Antiqua" w:cs="Arial"/>
          <w:sz w:val="24"/>
          <w:szCs w:val="24"/>
        </w:rPr>
        <w:t>tentang seleksi metodologis dalam kasus hukum dengan memberikan analisis secara sistemik.</w:t>
      </w:r>
      <w:r w:rsidRPr="002B0EFC">
        <w:rPr>
          <w:rStyle w:val="FootnoteReference"/>
          <w:rFonts w:ascii="Book Antiqua" w:eastAsia="Times New Roman" w:hAnsi="Book Antiqua" w:cs="Arial"/>
          <w:sz w:val="24"/>
          <w:szCs w:val="24"/>
        </w:rPr>
        <w:footnoteReference w:id="394"/>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1).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metode penalaran epistemologi ilmu hukum yang dikembangkan dengan sarana penalaran indera</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Penarikan kesimpulan yang benar dari permasalahan hukum yang bersifat khusus kepada hukum yang lebih bersifat umum melalui cara kerja induktif yang dipandang sebagai metode penalaran epistemologi ilmu hukum yang dikembangkan dengan sarana penalaran indera sebagaimana dalam mahzab sejarah hukum,</w:t>
      </w:r>
      <w:r w:rsidRPr="002B0EFC">
        <w:rPr>
          <w:rStyle w:val="FootnoteReference"/>
          <w:rFonts w:ascii="Book Antiqua" w:eastAsia="Times New Roman" w:hAnsi="Book Antiqua" w:cs="Arial"/>
          <w:sz w:val="24"/>
          <w:szCs w:val="24"/>
        </w:rPr>
        <w:footnoteReference w:id="395"/>
      </w:r>
      <w:r w:rsidRPr="002B0EFC">
        <w:rPr>
          <w:rFonts w:ascii="Book Antiqua" w:eastAsia="Times New Roman" w:hAnsi="Book Antiqua" w:cs="Arial"/>
          <w:sz w:val="24"/>
          <w:szCs w:val="24"/>
        </w:rPr>
        <w:t xml:space="preserve"> sebenarnya dapat diperbaiki dengan metode penalaran epistemologi ilmu hukum yang dikembangkan dengansarana penalaran akal secara deduktif untuk mendukung kesesuaian kebenarannya dengan hasil penarikan kesimpulan dari perihal hukum yang bersifat umum ke hukum yang bersifat khusus sebagaimana dalam aliran positivisme hukum. Metode penalaran induktif untuk memperoleh kesimpulan yang benar dengan melakukan generalisasi terhadap kasus-kasus hukum yang bersifat khusus kedalam hukum yang bersifat umum ternyata masih menimbulkan permasalahan, karena hanya mendasarkan pada kebenaran induktif yang bersifat umum (general) yang ditarik dari tradisi kebiasaan pergaulan masyarakat yang bersifat khusus. Artinya, bahwa kebenaran hukum masih terletak pada tradisi kebiasaan dalam pergaulan masyarakat, padahal tradisi kebiasaan dalam pergaulan masyarakat pada dasarnya masih bersifat khusus, belum merupakan hasil dari kesimpulan yangbersifat umum, karena terbentuk dari beberapa tradisi kebiasaan dalam pergaulan masyarakat yang bersifat khususyang </w:t>
      </w:r>
      <w:r w:rsidRPr="002B0EFC">
        <w:rPr>
          <w:rFonts w:ascii="Book Antiqua" w:eastAsia="Times New Roman" w:hAnsi="Book Antiqua" w:cs="Arial"/>
          <w:sz w:val="24"/>
          <w:szCs w:val="24"/>
        </w:rPr>
        <w:lastRenderedPageBreak/>
        <w:t xml:space="preserve">tertangkap oleh indera. Oleh karena itu, untuk memperbaiki metode penalaran induktif tersebut diperlukan epistemologi ilmu hukum berbasis akal yang mampu memperoleh kebenaran secara deduktif dari kesimpulan yang benar, karena sejak awal telah ditentukan secara umum kebenarannya untuk diikuti peristiwa-peristiwa hukumyang bersifat khusus. Metode penalaran induktif yang berusaha menarik kesimpulan yang benar dari realitas hukum bersifat khusus ke dalam hukum yang lebih umum (generalisasi) harus dipahami dengan metode penalaran deduktif yang menarik kesimpulan yang benar dari hukum yang telah ditetapkan secara umum ke dalam hukum yang bersifat khusus, sehingga dengan demikian terhadap kebenaran yang dihasilkan dari penarikan kesimpulan berdasarkan metode penalaran induktif memiliki kesesuaian kebenaran yang dihasilkan dari penarikan kesimpulan menggunakan metode penalaran deduktif.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Metode penalaran induktif dalam epistemologi ilmu hukum yang dikembangkan dengan sarana penalaran indera juga dapat diperbaiki dengan intuisi hati nurani untuk mendukung kesesuaian kebenarannya dengan perasaanyang terdapat dalam benak batin manusia. Kebenaran yang dihasilkan dari penarikan kesimpulan berupa tradisi kebiasaan dalam pergaulan masyarakat yang bersifat khusus ke dalam sifat hukum yang lebih umum secara generalisasi hanya menyentuh aspek kebenaran lahiriah yang tertangkap oleh indera, belum mampu menyentuh pada nilai kebenaran yang terdapat dalam perasaan benak batin hati nurani. Kebenaran yang tampak secara nyata daritradisi kebiasaan dalam pergaulan masyarakat belum tentu dapat menunjukkan kebenaran dalam benak batin manusia yang dapat memungkinkan terjadinya hal yang berlainan. Seperti tradisi kebiasaan perbudakan yang bertentangan dengan perasaan yang terdapat dalam hati nurani. Oleh karena itu, untuk memperbaiki kebenaran hukum yang masih bersifat lahiryang ditarik dari generalisasi secara induktif terhadap tradisi kebiasaan dalam pergaulan masyarakat harus dirasakan dengan epistemologi yang dikembangkan dengan sarana penalaran hati nurani yang mampu memperoleh kebenaran hukum berdasarkan perasaan yang terdapat dalam benak batin, sehingga dengan demikian terhadap kebenaran hukum yang masih bersifat lahir yang ditarik dari generalisasi </w:t>
      </w:r>
      <w:r w:rsidRPr="002B0EFC">
        <w:rPr>
          <w:rFonts w:ascii="Book Antiqua" w:eastAsia="Times New Roman" w:hAnsi="Book Antiqua" w:cs="Arial"/>
          <w:sz w:val="24"/>
          <w:szCs w:val="24"/>
        </w:rPr>
        <w:lastRenderedPageBreak/>
        <w:t xml:space="preserve">secara induktif terhadap tradisi kebiasaan dalam pergaulan masyarakat memiliki kesesuaian dengan perasaan hukum yang terdapat dalambenak batin hati nurani.         </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2).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metode penalaran epistemologi ilmu hukum yang dikembangkan dengan sarana penalaran akal</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deduktif yang menarik kesimpulan yang benar dari ketentuan hukum yang bersifat umum kepada permasalahan hukum yang bersifat khusus dalam epistemologi ilmu hukum yang dikembangkan dengan sarana penalaran akal sebagaimana dalam aliran positivisme hukum, sebenarnya dapat diperbaiki dengan metode penalaran epistemoilogi ilmu hukum yang dikembangkan dengan sarana penalaran indera secara induktif untuk mendukung kesesuaian kebenarannya dengan hasil penarikan kesimpulan dari permasalahan hukum yang bersifat khusus ke hukum yang lebih bersifat umum sebagaimana dalam mahzab sejarah hukum.</w:t>
      </w:r>
      <w:r w:rsidRPr="002B0EFC">
        <w:rPr>
          <w:rStyle w:val="FootnoteReference"/>
          <w:rFonts w:ascii="Book Antiqua" w:eastAsia="Times New Roman" w:hAnsi="Book Antiqua" w:cs="Arial"/>
          <w:sz w:val="24"/>
          <w:szCs w:val="24"/>
        </w:rPr>
        <w:footnoteReference w:id="396"/>
      </w:r>
      <w:r w:rsidRPr="002B0EFC">
        <w:rPr>
          <w:rFonts w:ascii="Book Antiqua" w:eastAsia="Times New Roman" w:hAnsi="Book Antiqua" w:cs="Arial"/>
          <w:sz w:val="24"/>
          <w:szCs w:val="24"/>
        </w:rPr>
        <w:t>Menurut pemahaman positivisme hukum, kebenaran hukum yang diperoleh dari penarikan kesimpulan hukum yang umum ke khusus melahirkan perspektif tentang hukum yang tidak ada hubungannya dengan daya kerja hukum, artinya bahwa hukum telah dipersepsikan sebagai sesuatu yang baik, jika terdapat praktek hukum yang burukbukan merupakan permasalahan hukum.Pemahaman analitik hukum ini berarti mengandung prinsip yang memisahkan hukum yang ada (</w:t>
      </w:r>
      <w:r w:rsidRPr="002B0EFC">
        <w:rPr>
          <w:rFonts w:ascii="Book Antiqua" w:eastAsia="Times New Roman" w:hAnsi="Book Antiqua" w:cs="Arial"/>
          <w:i/>
          <w:sz w:val="24"/>
          <w:szCs w:val="24"/>
        </w:rPr>
        <w:t>das sein</w:t>
      </w:r>
      <w:r w:rsidRPr="002B0EFC">
        <w:rPr>
          <w:rFonts w:ascii="Book Antiqua" w:eastAsia="Times New Roman" w:hAnsi="Book Antiqua" w:cs="Arial"/>
          <w:sz w:val="24"/>
          <w:szCs w:val="24"/>
        </w:rPr>
        <w:t>) dengan hukum yang seharusnya (</w:t>
      </w:r>
      <w:r w:rsidRPr="002B0EFC">
        <w:rPr>
          <w:rFonts w:ascii="Book Antiqua" w:eastAsia="Times New Roman" w:hAnsi="Book Antiqua" w:cs="Arial"/>
          <w:i/>
          <w:sz w:val="24"/>
          <w:szCs w:val="24"/>
        </w:rPr>
        <w:t>das sollen</w:t>
      </w:r>
      <w:r w:rsidRPr="002B0EFC">
        <w:rPr>
          <w:rFonts w:ascii="Book Antiqua" w:eastAsia="Times New Roman" w:hAnsi="Book Antiqua" w:cs="Arial"/>
          <w:sz w:val="24"/>
          <w:szCs w:val="24"/>
        </w:rPr>
        <w:t>).</w:t>
      </w:r>
      <w:r w:rsidRPr="002B0EFC">
        <w:rPr>
          <w:rStyle w:val="FootnoteReference"/>
          <w:rFonts w:ascii="Book Antiqua" w:eastAsia="Times New Roman" w:hAnsi="Book Antiqua" w:cs="Arial"/>
          <w:sz w:val="24"/>
          <w:szCs w:val="24"/>
        </w:rPr>
        <w:footnoteReference w:id="397"/>
      </w:r>
      <w:r w:rsidRPr="002B0EFC">
        <w:rPr>
          <w:rFonts w:ascii="Book Antiqua" w:eastAsia="Times New Roman" w:hAnsi="Book Antiqua" w:cs="Arial"/>
          <w:sz w:val="24"/>
          <w:szCs w:val="24"/>
        </w:rPr>
        <w:t xml:space="preserve"> Kebenaran hukum hanya dipahami sebagai ketentuan umum yang telah ada sejak awal dalam logika hukum positif dan terhadap kebenaran realitas hukum yang terjadi bukan merupakan suatu kebenaran. Penalaran hukum semacam ini dapat mengenyampingkan sejarah hukum, bahkan dapat memaksa kebenaran hukum kedalam kebenaranyang bersifat umum. Cara memperoleh kebenaran ini tidak akan sampai pada kebenaran nyata, karena hanya mendasarkan pada kebenaran mayor yang telah ditentukan, sehingga </w:t>
      </w:r>
      <w:r w:rsidRPr="002B0EFC">
        <w:rPr>
          <w:rFonts w:ascii="Book Antiqua" w:hAnsi="Book Antiqua" w:cs="Arial"/>
          <w:sz w:val="24"/>
          <w:szCs w:val="24"/>
        </w:rPr>
        <w:t xml:space="preserve">tidak pernah ada pengetahuan baru, karena pengetahuan yang diperoleh bersifat </w:t>
      </w:r>
      <w:r w:rsidRPr="002B0EFC">
        <w:rPr>
          <w:rFonts w:ascii="Book Antiqua" w:hAnsi="Book Antiqua" w:cs="Arial"/>
          <w:i/>
          <w:sz w:val="24"/>
          <w:szCs w:val="24"/>
        </w:rPr>
        <w:t>tautologis</w:t>
      </w:r>
      <w:r w:rsidRPr="002B0EFC">
        <w:rPr>
          <w:rFonts w:ascii="Book Antiqua" w:hAnsi="Book Antiqua" w:cs="Arial"/>
          <w:sz w:val="24"/>
          <w:szCs w:val="24"/>
        </w:rPr>
        <w:t>.</w:t>
      </w:r>
      <w:r w:rsidRPr="002B0EFC">
        <w:rPr>
          <w:rStyle w:val="FootnoteReference"/>
          <w:rFonts w:ascii="Book Antiqua" w:hAnsi="Book Antiqua" w:cs="Arial"/>
          <w:sz w:val="24"/>
          <w:szCs w:val="24"/>
        </w:rPr>
        <w:footnoteReference w:id="398"/>
      </w:r>
      <w:r w:rsidRPr="002B0EFC">
        <w:rPr>
          <w:rFonts w:ascii="Book Antiqua" w:hAnsi="Book Antiqua" w:cs="Arial"/>
          <w:sz w:val="24"/>
          <w:szCs w:val="24"/>
        </w:rPr>
        <w:t xml:space="preserve"> Oleh karena itu, untuk memperbaiki metode penalaran tersebut dilakukan dengan metode penalaran induktif yang mampu memperoleh kebenaran secara nyata hasil generalisasi realitas </w:t>
      </w:r>
      <w:r w:rsidRPr="002B0EFC">
        <w:rPr>
          <w:rFonts w:ascii="Book Antiqua" w:hAnsi="Book Antiqua" w:cs="Arial"/>
          <w:sz w:val="24"/>
          <w:szCs w:val="24"/>
        </w:rPr>
        <w:lastRenderedPageBreak/>
        <w:t>hukum di masyarakat, sehingga dengan demikian terhadap kebenaran hukum yang umum yang telah ditentukan akan memiliki kesesuaian dengan tradisi kebiasaan dalam pergaulan masyarakat. Hukum yang dipahami dengan metode deduktif dan induktif serta adanya penegasan terhadap keputusannya dinilai Stefan Talmon dapat memberikan dampak positif terhadap perkembangan hukum, khususnya dalam sistem hukum internasional yang memiliki cakupan dan kompleksitas lebih besar.</w:t>
      </w:r>
      <w:r w:rsidRPr="002B0EFC">
        <w:rPr>
          <w:rStyle w:val="FootnoteReference"/>
          <w:rFonts w:ascii="Book Antiqua" w:hAnsi="Book Antiqua" w:cs="Arial"/>
          <w:sz w:val="24"/>
          <w:szCs w:val="24"/>
        </w:rPr>
        <w:footnoteReference w:id="399"/>
      </w:r>
      <w:r w:rsidR="00D76105">
        <w:rPr>
          <w:rFonts w:ascii="Book Antiqua" w:hAnsi="Book Antiqua" w:cs="Arial"/>
          <w:sz w:val="24"/>
          <w:szCs w:val="24"/>
        </w:rPr>
        <w:t xml:space="preserve"> </w:t>
      </w:r>
      <w:r w:rsidRPr="002B0EFC">
        <w:rPr>
          <w:rFonts w:ascii="Book Antiqua" w:hAnsi="Book Antiqua" w:cs="Arial"/>
          <w:sz w:val="24"/>
          <w:szCs w:val="24"/>
        </w:rPr>
        <w:t xml:space="preserve">Upaya perbaikan hukum ini seperti dikemukakan pula oleh Frank Pasquale &amp; Glyn Cashwell yang menggabungkan analisis teknis dan sosiologis yang berbeda untuk masa depan hukum yang tergantung pada </w:t>
      </w:r>
      <w:r w:rsidRPr="002B0EFC">
        <w:rPr>
          <w:rFonts w:ascii="Book Antiqua" w:hAnsi="Book Antiqua" w:cs="Arial"/>
          <w:i/>
          <w:sz w:val="24"/>
          <w:szCs w:val="24"/>
        </w:rPr>
        <w:t>tren</w:t>
      </w:r>
      <w:r w:rsidRPr="002B0EFC">
        <w:rPr>
          <w:rFonts w:ascii="Book Antiqua" w:hAnsi="Book Antiqua" w:cs="Arial"/>
          <w:sz w:val="24"/>
          <w:szCs w:val="24"/>
        </w:rPr>
        <w:t xml:space="preserve"> sosial yang lebih luas di luar hukum.</w:t>
      </w:r>
      <w:r w:rsidRPr="002B0EFC">
        <w:rPr>
          <w:rStyle w:val="FootnoteReference"/>
          <w:rFonts w:ascii="Book Antiqua" w:hAnsi="Book Antiqua" w:cs="Arial"/>
          <w:sz w:val="24"/>
          <w:szCs w:val="24"/>
        </w:rPr>
        <w:footnoteReference w:id="400"/>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deduktif dalam epistemologi ilmu hukum yang dikembangkan dengan sarana penalaran akal juga dapat diperbaiki dengan penalaran hati nurani secara intuisi untuk mendukung kesesuaian kebenarannya dengan perasaan hukum yang terdapat dalam benak batin. Logika hukum formal yang menjadi struktur cara berpikir positivisme hukum untuk mendasarkan kebenaran hukum pada peraturan perundang-undangan seperti dalam teori hukum murni yang dikemukakan Hans Kelsen berhasil menyingkirkan pertimbangan hati nurani dalamhukum. Struktur formal hukum merupakan sebuah teknik khusus yang terbakukan, sehingga hukum yang telah dipersepsikan benar dalam logika hukum dapat digunakan sebagai alat untuk melakukan pemaksaan kepada pihak yang diatur.</w:t>
      </w:r>
      <w:r w:rsidRPr="002B0EFC">
        <w:rPr>
          <w:rStyle w:val="FootnoteReference"/>
          <w:rFonts w:ascii="Book Antiqua" w:eastAsia="Times New Roman" w:hAnsi="Book Antiqua" w:cs="Arial"/>
          <w:sz w:val="24"/>
          <w:szCs w:val="24"/>
        </w:rPr>
        <w:footnoteReference w:id="401"/>
      </w:r>
      <w:r w:rsidRPr="002B0EFC">
        <w:rPr>
          <w:rFonts w:ascii="Book Antiqua" w:eastAsia="Times New Roman" w:hAnsi="Book Antiqua" w:cs="Arial"/>
          <w:sz w:val="24"/>
          <w:szCs w:val="24"/>
        </w:rPr>
        <w:t xml:space="preserve"> Dalam memahami kebenaran hukum yang besifat struktur formal tersebut dibatasi pada ketentuan prosedur yang telah ditetapkan dan melepas dari semua pertimbangan internal yang terdapat dalam benak batin hati nurani yang terkait dengan perasaan, karena hukum dinilai baik jika telah sesuai dengan cara yang benar sesuai ketentuan yang berlaku. Metode penalaran hukum demikian dapat menghilangkan perasaanyang terdapat dalam hati nurani, sehingga hukum terasa kering dari sifat-sifat kemanusiaan. Kebenaran hukum yang diperoleh dari premis mayor yang telah ditetapkan sebagai aksioma yang terdapat dalam teks </w:t>
      </w:r>
      <w:r w:rsidRPr="002B0EFC">
        <w:rPr>
          <w:rFonts w:ascii="Book Antiqua" w:eastAsia="Times New Roman" w:hAnsi="Book Antiqua" w:cs="Arial"/>
          <w:sz w:val="24"/>
          <w:szCs w:val="24"/>
        </w:rPr>
        <w:lastRenderedPageBreak/>
        <w:t>peraturan perundang-undangan sering dirasakan tidak mampu menyentuh perasaan hati nurani. Oleh karena itu, untuk memperbaiki metode penalaran hukum tersebut harus dipahami dengan penalaran intuisi hati nurani yang terdapat dalam benak batin manusia. Hukum yang terdapat dalam peraturan perundang-undangan tidak berhenti pada kebenaran yang bersifat aksioma yang ditarik dari penalaran deduktif, tetapi harus dapat dirasakan hingga sampai pada benak batin, sehingga hukum memiliki kesesuaian dengan perasaan yang terdapat dalam hati nurani.</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 xml:space="preserve"> metode penalaran epistemologi ilmu hukum yang dikembangkan dengan sarana penalaran hati nurani </w:t>
      </w:r>
    </w:p>
    <w:p w:rsidR="00346169" w:rsidRPr="002B0EFC" w:rsidRDefault="00346169" w:rsidP="002B0EFC">
      <w:pPr>
        <w:spacing w:after="0" w:line="360" w:lineRule="auto"/>
        <w:ind w:firstLine="720"/>
        <w:jc w:val="both"/>
        <w:rPr>
          <w:rFonts w:ascii="Book Antiqua" w:eastAsia="Times New Roman" w:hAnsi="Book Antiqua" w:cs="Arial"/>
          <w:b/>
          <w:sz w:val="24"/>
          <w:szCs w:val="24"/>
        </w:rPr>
      </w:pPr>
      <w:r w:rsidRPr="002B0EFC">
        <w:rPr>
          <w:rFonts w:ascii="Book Antiqua" w:eastAsia="Times New Roman" w:hAnsi="Book Antiqua" w:cs="Arial"/>
          <w:sz w:val="24"/>
          <w:szCs w:val="24"/>
        </w:rPr>
        <w:t xml:space="preserve">Intuisi sebagai metode penalaran epistemologi ilmu hukum yang dikembangkan dengan sarana penalaran hati nurani yang terdapat dalam benak batin manusia sebagaimana dalam aliran hukum kodrat, sebenarnya dapat diperbaiki dengan metode penalaran epistemoilogi ilmu hukum yang dikembangkan dengan sarana penalaran indera secara induktif untuk mendukung kesesuaian kebenarannya dengan hasil penarikan kesimpulan dari permasalahan hukum yang bersifat khusus ke hukum yang lebih bersifat umum sebagaimana tradisi kebiasaan dalam pergaulan masyarakat. Kebenaran hukum yang dihasilkan dari metode penalaran intuisi tidak dapat dilihat secara nyata dan konkrit, karena berasal dari dalam perasaan yang terdapat dalam benak batin hati nurani, sehingga kebenaran hukum yang dihasilkan sulit diterimadan dibuktikan secara objektif. Kebenaran hasil </w:t>
      </w:r>
      <w:r w:rsidRPr="002B0EFC">
        <w:rPr>
          <w:rFonts w:ascii="Book Antiqua" w:hAnsi="Book Antiqua" w:cs="Arial"/>
          <w:sz w:val="24"/>
          <w:szCs w:val="24"/>
        </w:rPr>
        <w:t xml:space="preserve">penalaran intuisi dapat dirasakan, akan tetapi sering tidak mampu menjelaskan bagaimana cara untuk menemukannya. </w:t>
      </w:r>
      <w:r w:rsidRPr="002B0EFC">
        <w:rPr>
          <w:rFonts w:ascii="Book Antiqua" w:eastAsia="Times New Roman" w:hAnsi="Book Antiqua" w:cs="Arial"/>
          <w:sz w:val="24"/>
          <w:szCs w:val="24"/>
        </w:rPr>
        <w:t xml:space="preserve">Oleh karena itu, kebenaran yang dihasilkan oleh penalaran intuisi hati nurani harus diperbaiki dengan metode penalaran induktif berdasarkan pada indera yang menarik kesimpulan benar secara generalisasi dari tradisi kebiasaan dalam pergaulan  masyarakat,sehingga terhadap kebenaran hukum yang terdapat dalam perasaan benak batin hati nuranimemiliki kesesuaian dengan kebenaran hukum yang berwujud nyata dan konkrit dalam tradisi kebiasaan dalam pergaulan masyarakat.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Intuisi sebagai cara penalaran hati nurani yang menghasilkan perasaan hukum juga dapat diperbaiki dengan metode penalaran epistemologi ilmu hukum yang dikembangkan dengan sarana penalaran akal secara deduktif untuk </w:t>
      </w:r>
      <w:r w:rsidRPr="002B0EFC">
        <w:rPr>
          <w:rFonts w:ascii="Book Antiqua" w:eastAsia="Times New Roman" w:hAnsi="Book Antiqua" w:cs="Arial"/>
          <w:sz w:val="24"/>
          <w:szCs w:val="24"/>
        </w:rPr>
        <w:lastRenderedPageBreak/>
        <w:t>mendukung kesesuaian kebenarannya dengan hasil penarikan kesimpulan dari perihal hukum yang bersifat umum ke hukum yang bersifat khusus sebagaimana dalam aliran positivisme hukum. Kebenaran hukum yang bergantung pada sikap penerimaan perasaan dalam hati nurani tidak akan pernah mencapai kebenaran hukum yang bersifat pasti, sehingga kebenaran yang dihasilkan tidak dapat diakui secara sah.</w:t>
      </w:r>
      <w:r w:rsidRPr="002B0EFC">
        <w:rPr>
          <w:rStyle w:val="FootnoteReference"/>
          <w:rFonts w:ascii="Book Antiqua" w:eastAsia="Times New Roman" w:hAnsi="Book Antiqua" w:cs="Arial"/>
          <w:sz w:val="24"/>
          <w:szCs w:val="24"/>
        </w:rPr>
        <w:footnoteReference w:id="402"/>
      </w:r>
      <w:r w:rsidRPr="002B0EFC">
        <w:rPr>
          <w:rFonts w:ascii="Book Antiqua" w:eastAsia="Times New Roman" w:hAnsi="Book Antiqua" w:cs="Arial"/>
          <w:sz w:val="24"/>
          <w:szCs w:val="24"/>
        </w:rPr>
        <w:t xml:space="preserve"> Oleh karena itu, kebenaran yang dihasilkan oleh penalaran intuisi hati nurani harus diperbaiki dengan metode penalaran deduktif berdasarkan rasional akal yang menarik kesimpulan benar dan pasti dari premis mayor yang telah ditentukan kebenarannya dalam peraturan perundang-undangan, sehingga kebenaran hukum yang terdapat dalam perasaan benak batin hati nurani memiliki kesesuaian dengan kebenaran hukum yang bersifat pasti sebagaimana terdapat dalam logika hukum peraturan perundang-undangan.</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Metode penalaran hati nurani tersebut apabila diuraikan lebih lanjut dapat dijelaskan dengan melalui teori quantum, seperti dalam kerangka teori di depan. Quantum sebagai metode yang terkait dengan teori untuk menjelaskan realitas atom dapat membantu menjelaskan cara kerja hati nurani secara ilmiah dalam memperoleh pengetahuan. Hal ini seperti didasari oleh adanya paradoks-paradoks yang timbul dari aspek esensial fisika atom untuk menjelaskan suatu materi yang tidak cukup untuk dipikiran dan menggambarkannya secara fisik, karena tidak hanya bersifat intelektual, melainkan melibatkan pengalaman emosional dan eksistensial yang sangat kuat sebagaimana dikemukakan oleh Werner Heisenberg. Teori quantum merupakan wujud dari fisika baru (modern) pada zamannya yang berpengaruh besar pada perubahan-perubahan dalam konsep ruang, waktu, materi, objek dan sebab akibat.</w:t>
      </w:r>
      <w:r w:rsidRPr="002B0EFC">
        <w:rPr>
          <w:rFonts w:ascii="Book Antiqua" w:eastAsia="Times New Roman" w:hAnsi="Book Antiqua" w:cs="Arial"/>
          <w:sz w:val="24"/>
          <w:szCs w:val="24"/>
          <w:vertAlign w:val="superscript"/>
        </w:rPr>
        <w:footnoteReference w:id="403"/>
      </w:r>
      <w:r w:rsidRPr="002B0EFC">
        <w:rPr>
          <w:rFonts w:ascii="Book Antiqua" w:eastAsia="Times New Roman" w:hAnsi="Book Antiqua" w:cs="Arial"/>
          <w:sz w:val="24"/>
          <w:szCs w:val="24"/>
        </w:rPr>
        <w:t xml:space="preserve"> Teori quantum memiliki kesesuaian dengan hati nurani, karena merupakan sesuatu yang tidak berwujud materiil dan pada puncaknya berada di luar sifat intelektualitas.</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Teori quantum telah berhasil menjelaskan bagaimana cara kerja hati nurani dengan menunjukkan bahwa partikel-partikel subatom atau dalam hal ini adalah suatu kajian terkait dengan entitas hati nurani yang tidak berbentuk secara fisik dan </w:t>
      </w:r>
      <w:r w:rsidRPr="002B0EFC">
        <w:rPr>
          <w:rFonts w:ascii="Book Antiqua" w:eastAsia="Times New Roman" w:hAnsi="Book Antiqua" w:cs="Arial"/>
          <w:sz w:val="24"/>
          <w:szCs w:val="24"/>
        </w:rPr>
        <w:lastRenderedPageBreak/>
        <w:t>juga bersifat jelas dan pasti, bukanlah butir-butir materi yang terpisah, melainkan pola-pola probabilitas yang menunjukkan kesalingberhubungan dalam suatu jaring-jaring kosmik yang tidak dapat dipisah-pisahkan yang mencakup manusia sebagai pengamat beserta kesadarnnya. Sedangkan teori relativitas telah menjelaskan hati nurani dalam membuat jaring-jaring kosmik menjadi hidup dengan mengungkapkan ciri dinamis intrinsiknya untuk menunjukkan bahwa aktivitasnya adalah merupakan suatu entitas keberadaanya, artinya hati nurani tidak dapat dipahami secara nyata dan pasti, karena selalu berubah dalam pergerakan guna menjalankan aktivitas keterhubungannya dengan fenomena yang lain dan itulah sebenarnya metode yang mampu untuk menunjukkan entitas keberadaan hati nurani dengan cara kerjanya.</w:t>
      </w:r>
      <w:r w:rsidRPr="002B0EFC">
        <w:rPr>
          <w:rStyle w:val="FootnoteReference"/>
          <w:rFonts w:ascii="Book Antiqua" w:eastAsia="Times New Roman" w:hAnsi="Book Antiqua" w:cs="Arial"/>
          <w:sz w:val="24"/>
          <w:szCs w:val="24"/>
        </w:rPr>
        <w:footnoteReference w:id="404"/>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w:t>
      </w:r>
      <w:r w:rsidRPr="002B0EFC">
        <w:rPr>
          <w:rFonts w:ascii="Book Antiqua" w:eastAsia="Times New Roman" w:hAnsi="Book Antiqua" w:cs="Arial"/>
          <w:b/>
          <w:i/>
          <w:sz w:val="24"/>
          <w:szCs w:val="24"/>
        </w:rPr>
        <w:t>Improvement</w:t>
      </w:r>
      <w:r w:rsidRPr="002B0EFC">
        <w:rPr>
          <w:rFonts w:ascii="Book Antiqua" w:eastAsia="Times New Roman" w:hAnsi="Book Antiqua" w:cs="Arial"/>
          <w:b/>
          <w:sz w:val="24"/>
          <w:szCs w:val="24"/>
        </w:rPr>
        <w:t>terhadap kemanfaatan epistemologi ilmu hukum</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Upaya perbaikan terhadap epistemologi ilmu hukum yang terkait dengan objek dan metode penalaran ilmu hukum seperti dijelaskan di atas membawa dampak pengaruh ikut terbaruinya nilai kemanfaatan epistemologi ilmu hukum yang ada. Objek dan metode penalaran ilmu hukum yang dapat dipandang dan dipahami bersama-sama secara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xml:space="preserve"> oleh indera, akal dan hati nurani sebagai sarana penalaran untuk mengembangkan sarana penalaran utama epistemologi ilmu hukum dapat memperbaiki kelemahaman yang ada pada masing-masing sarana penalaran epistemologi, sehingga dengan itu maka terhadap nilai kemanfaatan epistemologi ilmu hukum juga dapat diperbaiki. Dalam epistemologi ilmu hukum yang sebelumnya hanya memiliki satu nilai kemanfaatan secara parsial dan terpisah atau bahkan terhadap kemanfaatan ilmu hukum tertentu yang hanya digunakan untuk mendistorsi kemanfaatan ilmu hukum yang lain, maka setelah ada upaya perbaikan tersebut akan menjadi satu nilai kemanfaatan yang berguna bagi seluruh epistemologi ilmu hukum yang ada. Hal ini hampir mirip dengan fungsi hukum menurut Lawrence Fridman,</w:t>
      </w:r>
      <w:r w:rsidRPr="002B0EFC">
        <w:rPr>
          <w:rStyle w:val="FootnoteReference"/>
          <w:rFonts w:ascii="Book Antiqua" w:eastAsia="Times New Roman" w:hAnsi="Book Antiqua" w:cs="Arial"/>
          <w:sz w:val="24"/>
          <w:szCs w:val="24"/>
        </w:rPr>
        <w:footnoteReference w:id="405"/>
      </w:r>
      <w:r w:rsidRPr="002B0EFC">
        <w:rPr>
          <w:rFonts w:ascii="Book Antiqua" w:eastAsia="Times New Roman" w:hAnsi="Book Antiqua" w:cs="Arial"/>
          <w:sz w:val="24"/>
          <w:szCs w:val="24"/>
        </w:rPr>
        <w:t xml:space="preserve"> akan tetapi secara konsep memiliki perbedaan yang bersifat khusus pada sarana penalaran yang digunakan untuk mengembangkan epistemologi ilmu hukumnya.</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lastRenderedPageBreak/>
        <w:tab/>
        <w:t>Kemanfaatan bersifat praktisyang dihasilkan dari epistemologi ilmu hukum yang dikembangkan dengan sarana penalaran indera secara induktif terhadap tradisi kebiasaan dalam pergaulan masyarakat dapat diperbaiki dan diperbarui dengan kepastian hukum yang dihasilkan dari epistemologi ilmu hukum yang dikembangkan dengan sarana penalaran akal secara deduktif yang berdasarkan pada sistem norma hukum positif dalam peraturan perundang-undangan. Kemanfaatan praktisyang dihasilkan dari epistemologi ilmu hukum yang dikembangkan dengan sarana penalaran inderajuga dapat diperbaiki dan diperbarui dengan adanya perasaan ketenangan dan ketenteraman batinyang dihasilkan epistemologi ilmu hukum yang dikembangkan dengan sarana penalaran hati nurani secara intuisi terhadap segala permasalahan hukum yang dapat menyentuh perasaan dalam hati nurani manusia. Dengan demikian, maka terhadap kemanfaatan praktis hukum memiliki kesesuaian dengan kepastian hukum dan perasaan ketenangan dan ketentramanbatin.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Kepastian hukum yang dihasilkan dari epistemologi ilmu hukum yang dikembangkan dengan sarana penalaran akal secara deduktif dalam sistem norma hukum positif peraturan perundang-undangan dapat diperbaiki dan diperbarui dengan kemanfaatan praktisyang dihasilkan dari epistemologi ilmu hukum yang dikembangkan dengan sarana penalaran indera secara induktif dalam realitas hukum empiris di masyarakat.</w:t>
      </w:r>
      <w:r w:rsidRPr="002B0EFC">
        <w:rPr>
          <w:rStyle w:val="FootnoteReference"/>
          <w:rFonts w:ascii="Book Antiqua" w:eastAsia="Times New Roman" w:hAnsi="Book Antiqua" w:cs="Arial"/>
          <w:sz w:val="24"/>
          <w:szCs w:val="24"/>
        </w:rPr>
        <w:footnoteReference w:id="406"/>
      </w:r>
      <w:r w:rsidRPr="002B0EFC">
        <w:rPr>
          <w:rFonts w:ascii="Book Antiqua" w:eastAsia="Times New Roman" w:hAnsi="Book Antiqua" w:cs="Arial"/>
          <w:sz w:val="24"/>
          <w:szCs w:val="24"/>
        </w:rPr>
        <w:t xml:space="preserve">Kepastian hukum yang dihasilkan dari epistemologi ilmu hukum yang dikembangkan dengan sarana penalaran akal juga dapat diperbaiki dan diperbarui dengan adanya perasaan ketenangan dan ketentraman batin yang dihasilkan dari epistemologi ilmu hukum yang dikembangkan dengan sarana penalaran hati nurani secara intuisi terhadap segala permasalahan hukum yang dapat menyentuh perasaan batin hati nurani.Artinya, sistem norma hukum positif dalam peraturan perundang-undangan selain memiliki kemanfaatan berupa kepastian hukum,juga memiliki kemanfaatan berupa ketenangan dan ketentraman perasaan batin hati nurani.Dengan demikian, maka </w:t>
      </w:r>
      <w:r w:rsidRPr="002B0EFC">
        <w:rPr>
          <w:rFonts w:ascii="Book Antiqua" w:eastAsia="Times New Roman" w:hAnsi="Book Antiqua" w:cs="Arial"/>
          <w:sz w:val="24"/>
          <w:szCs w:val="24"/>
        </w:rPr>
        <w:lastRenderedPageBreak/>
        <w:t>terhadap kepastian hukum memiliki kesesuaian dengan kemanfaatan praktis dan perasaan ketenangan dan ketentraman batin</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Perasaan ketenangan dan ketentraman batinyang dihasilkan epistemologi ilmu hukum yang dikembangkan dengan sarana penalaran hati nurani secara intuisi terhadap segala permasalahan hukum yang dapat menyentuh perasaan batin manusia dapat diperbaiki dan diperbarui dengan kemanfaatan praktisyang dihasilkan oleh epistemologi ilmu hukum yang dikembangkan dengan sarana penalaran indera secara induktif terhadap tradisi kebiasaan dalam pergaulan masyarakat. Perasaan ketenangan dan ketentraman batin yang dihasilkan epistemologi ilmu hukum yang dikembangkan dengan sarana penalaran hati nurani juga dapat diperbaiki dan diperbarui dengan kepastian hukum yang dihasilkan oleh epistemologi ilmu hukum yang dikembangkan dengan sarana penalaran akal secara deduktif terhadap sistem norma hukum positif dalam peraturan perundang-undangan. Artinya, hati nurani dalam hukum selain memiliki kemanfaatan berupa perasaan ketenangan dan ketentraman batin, juga memiliki kemanfaatan berupa kepastian hukum. Dengan demikian, maka terhadap perasaan ketenangan dan ketentraman batin memiliki kesesuaian dengan kemanfaatan praktishukum dan kepastian hukum.</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3. </w:t>
      </w:r>
      <w:r w:rsidRPr="002B0EFC">
        <w:rPr>
          <w:rFonts w:ascii="Book Antiqua" w:eastAsia="Times New Roman" w:hAnsi="Book Antiqua" w:cs="Arial"/>
          <w:b/>
          <w:i/>
          <w:sz w:val="24"/>
          <w:szCs w:val="24"/>
        </w:rPr>
        <w:t>Meting Point: Intelligent Legal Wisdom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Konsep konvergensi epistemologi berkeadaban dalam ilmu hukum merupakan jawaban dari hasil refleksi terhadap keberadaan epistemologi ilmu hukum yang ada beserta permasalahan yang melingkupinya. Permasalahan yang terjadi dalam epistemologi ilmu hukum harus disikapi dengan melakukan pemahaman yang benar terhadap epistemologi ilmu hukum guna untuk mengetahui keadaan yang sebenar-benarnya dan sekaligus untuk melakukan perbaikan terhadapnya. Dalam epistemologi ilmu hukum tidak akan mungkin mendapatkan suatu pemahaman yang utuh, komprehensif dan bijak tanpa ada proses yang melibatkan dari seluruh keadaan yang ada pada epistemologi ilmu hukum tersebut, khususnya dalam hal ini terkait dengan sarana penalaran utama (indera, akal dan hati nurani) dalam mengembangkan epistemologi ilmu hukum.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 xml:space="preserve">sebagai bentuk pemahaman yang bersifat internal dan </w:t>
      </w:r>
      <w:r w:rsidRPr="002B0EFC">
        <w:rPr>
          <w:rFonts w:ascii="Book Antiqua" w:eastAsia="Times New Roman" w:hAnsi="Book Antiqua" w:cs="Arial"/>
          <w:sz w:val="24"/>
          <w:szCs w:val="24"/>
        </w:rPr>
        <w:lastRenderedPageBreak/>
        <w:t xml:space="preserve">eksternal terhadap epistemologi ilmu hukum dapat digunakan untuk melakukan </w:t>
      </w:r>
      <w:r w:rsidRPr="002B0EFC">
        <w:rPr>
          <w:rFonts w:ascii="Book Antiqua" w:eastAsia="Times New Roman" w:hAnsi="Book Antiqua" w:cs="Arial"/>
          <w:i/>
          <w:sz w:val="24"/>
          <w:szCs w:val="24"/>
        </w:rPr>
        <w:t xml:space="preserve">improvement </w:t>
      </w:r>
      <w:r w:rsidRPr="002B0EFC">
        <w:rPr>
          <w:rFonts w:ascii="Book Antiqua" w:eastAsia="Times New Roman" w:hAnsi="Book Antiqua" w:cs="Arial"/>
          <w:sz w:val="24"/>
          <w:szCs w:val="24"/>
        </w:rPr>
        <w:t>terhadap epistemologi ilmu hukum, sehingga dari proses tersebut akan diperoleh konsep pemahaman baru yang merupakan titik temu epistemologi ilmu hukum sebagai bentuk dari kecerdasan nalar tertinggi manusia. Konsepkonvergensi epistemologi berkeadaban dalam ilmu hukum merupakan bentuk dari satu kesatuan sistem epistemologi ilmu hukum yang menunjukkan tingkat kesempurnaan tertinggi menuju pemahaman kebenaran hakiki, sehingga hal itu juga bagian dari upaya untuk melakukan pembaruan epistemologi ilmu hukum.</w:t>
      </w:r>
      <w:r w:rsidRPr="002B0EFC">
        <w:rPr>
          <w:rStyle w:val="FootnoteReference"/>
          <w:rFonts w:ascii="Book Antiqua" w:eastAsia="Times New Roman" w:hAnsi="Book Antiqua" w:cs="Arial"/>
          <w:sz w:val="24"/>
          <w:szCs w:val="24"/>
        </w:rPr>
        <w:footnoteReference w:id="407"/>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a. Kesatuan sistem nalar dalam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Permasalahan epistemologi ilmu hukum menjadi tema utama dan penting yang terus mempengaruhi perkembangan hukum. Epistemologi sebagai pemahaman yang terkait dengan cara yang benar sarana penalaran dalam menggali dan memperoleh ilmu hukum telah berhasil menghantarkan manusia pada berbagai pemahaman tentang hukum. Sejarah awal kelahiran, perkembangan dan konflik epistemologi ilmu hukum yang ditimbulkan merupakan bagian dari bentuk sistem epistemologi ilmu hukum yang tidak dapat dikesampingkan. Teori hukum yang terdapat dalam aliran hukum dianggap benar berdasarkan cara menggali dan memperoleh sesuai dengan sarana penalaran utama dalam mengembangkan epistemologi ilmu hukum masing-masing, seperti indera memiliki cara empiris, akal secara rasional dan hati secara intuisi. Oleh karena itu, meskipun dalam pembicaraan hukum tidak disebut secara eksplisit tentang sarana penalaran yang digunakan dalam mengembangkan epistemologi yang digunakan, akan tetapi jika ditelusuri akan diperoleh penjelasan tentang sarana penalaran yang mendasari bagaimana cara untuk menggali dan memperoleh pengetahuan ilmu hukum tersebut. Ilmu hukum akan berkembang dengan baik jika didukung oleh pemahaman terhadap sarana penalaran untuk mengembangkan epistemologi yang baik pula. Dalam beberapa pilihan alternatif epistemologi ilmu hukum yang ada, diperlukan konsep konvergensi berkeadaban dalam ilmu hukum untuk menyatukan </w:t>
      </w:r>
      <w:r w:rsidRPr="002B0EFC">
        <w:rPr>
          <w:rFonts w:ascii="Book Antiqua" w:eastAsia="Times New Roman" w:hAnsi="Book Antiqua" w:cs="Arial"/>
          <w:sz w:val="24"/>
          <w:szCs w:val="24"/>
        </w:rPr>
        <w:lastRenderedPageBreak/>
        <w:t>pemahaman hukum. Kesatuan sistem epistemologi ilmu hukum ini dalam ranah praktek hukum hampir sama dengan cara pandangMilson C. Yu terkait dengan konsep pendekatan holistik dalam mengatasi permasalahan di bidang hukum keuangan.</w:t>
      </w:r>
      <w:r w:rsidRPr="002B0EFC">
        <w:rPr>
          <w:rStyle w:val="FootnoteReference"/>
          <w:rFonts w:ascii="Book Antiqua" w:eastAsia="Times New Roman" w:hAnsi="Book Antiqua" w:cs="Arial"/>
          <w:sz w:val="24"/>
          <w:szCs w:val="24"/>
        </w:rPr>
        <w:footnoteReference w:id="408"/>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Epistemologi ilmu hukum pada dasarnya merupakan sistem pengetahuan yang saling terkait dan berhubungan. Hal ini didasari dari pemahaman, bahwa epistemologi sebagai cara dan sarana penalaran yang terkait erat dengan berbagai hal yang dilakukan manusia untuk berusaha memperoleh pengetahuan yang benar. Keterbatasan dalam memperoleh pengetahuan yang benar akan selalu diikuti oleh kemampauan untuk memperbaiki dan meningkatkan bidang kajian epistemologi, sehingga manusia mampu untuk mencapai apa yang dipahami menjadi sebuah kebenaran pengetahuan yang dimaksud. Manusia dengan kesatuan sistem pengetahuannya seperti yang telah dijelaskan di ataspada hakikatnya memiliki tiga sarana penalaran utama dalam mengembangkan epistemologisebagai anugerah Tuhan untuk menggali dan memperoleh ilmu pengetahuan dengan baik melalui indera, akal dan hati nurani. Hal ini sesuai dengan ketentuan Tuhan yang terdapat dalam Q.S An Nahl ayat 78; </w:t>
      </w:r>
      <w:r w:rsidRPr="002B0EFC">
        <w:rPr>
          <w:rFonts w:ascii="Book Antiqua" w:eastAsia="Times New Roman" w:hAnsi="Book Antiqua" w:cs="Arial"/>
          <w:i/>
          <w:sz w:val="24"/>
          <w:szCs w:val="24"/>
        </w:rPr>
        <w:t>“Dan Allah mengeluarkan kamu dari perut ibumu dalam keadaan tidak mengetahui sesuatu pun dan Ia memberi kamu pendengaran, penglihatan dan hati, agar kamu bersyukur.”</w:t>
      </w:r>
      <w:r w:rsidRPr="002B0EFC">
        <w:rPr>
          <w:rFonts w:ascii="Book Antiqua" w:eastAsia="Times New Roman" w:hAnsi="Book Antiqua" w:cs="Arial"/>
          <w:sz w:val="24"/>
          <w:szCs w:val="24"/>
        </w:rPr>
        <w:t xml:space="preserve"> Dalam ayat tersebut mensiratkan penjelasan, bahwa dalam mencapai pengetahuan yang benarmanusia harus menggunakan seluruhkemampuan indera, akal dan hati nurani untuk memperoleh satukebenaran pengetahuan yang baik sesuai dengan jalan yang dikehendak Tuhan.</w:t>
      </w:r>
      <w:r w:rsidRPr="002B0EFC">
        <w:rPr>
          <w:rStyle w:val="FootnoteReference"/>
          <w:rFonts w:ascii="Book Antiqua" w:eastAsia="Times New Roman" w:hAnsi="Book Antiqua" w:cs="Arial"/>
          <w:sz w:val="24"/>
          <w:szCs w:val="24"/>
        </w:rPr>
        <w:footnoteReference w:id="409"/>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Ketiga sarana penalaran utama dalam mengembangkan epistemologi ilmu hukum tersebut, meskipun sering digunakan secara parsial dan terpisah, akan tetapi pada dasarnya telah menjadi suatu sistem yang saling berhubungan dan terkait dalam diri manusia untuk mencapai kebenaran pengetahuan yang terbaik. Pemahaman tersebut sesuai dengan makna berkeadaban, yaitu </w:t>
      </w:r>
      <w:r w:rsidRPr="002B0EFC">
        <w:rPr>
          <w:rFonts w:ascii="Book Antiqua" w:hAnsi="Book Antiqua" w:cs="Arial"/>
          <w:sz w:val="24"/>
          <w:szCs w:val="24"/>
        </w:rPr>
        <w:t xml:space="preserve">ketinggian tingkat </w:t>
      </w:r>
      <w:r w:rsidRPr="002B0EFC">
        <w:rPr>
          <w:rFonts w:ascii="Book Antiqua" w:hAnsi="Book Antiqua" w:cs="Arial"/>
          <w:sz w:val="24"/>
          <w:szCs w:val="24"/>
        </w:rPr>
        <w:lastRenderedPageBreak/>
        <w:t>kecerdasan lahir batin.</w:t>
      </w:r>
      <w:r w:rsidRPr="002B0EFC">
        <w:rPr>
          <w:rStyle w:val="FootnoteReference"/>
          <w:rFonts w:ascii="Book Antiqua" w:eastAsia="Calibri" w:hAnsi="Book Antiqua" w:cs="Arial"/>
          <w:sz w:val="24"/>
          <w:szCs w:val="24"/>
        </w:rPr>
        <w:footnoteReference w:id="410"/>
      </w:r>
      <w:r w:rsidRPr="002B0EFC">
        <w:rPr>
          <w:rFonts w:ascii="Book Antiqua" w:hAnsi="Book Antiqua" w:cs="Arial"/>
          <w:sz w:val="24"/>
          <w:szCs w:val="24"/>
        </w:rPr>
        <w:t>Kecerdasan lahir dan batin jika merujuk pada pemikiran al-Ghazali, merupakan bentuk dari satu kesatuan sistem pengetahuan utuh yang terdapat dalam diri manusia, karena ilmu pengetahuan lahir merupakan ilmu pengetahuan yang dalam prosesnya melibatkan anggota tubuh manusia (indera dan akal), dan ilmu pengetahuan batinmerupakan ilmu pengetahuan yang dalam prosesnya melibatkan hati nurani.</w:t>
      </w:r>
      <w:r w:rsidRPr="002B0EFC">
        <w:rPr>
          <w:rStyle w:val="FootnoteReference"/>
          <w:rFonts w:ascii="Book Antiqua" w:hAnsi="Book Antiqua" w:cs="Arial"/>
          <w:sz w:val="24"/>
          <w:szCs w:val="24"/>
        </w:rPr>
        <w:footnoteReference w:id="411"/>
      </w:r>
      <w:r w:rsidRPr="002B0EFC">
        <w:rPr>
          <w:rFonts w:ascii="Book Antiqua" w:hAnsi="Book Antiqua" w:cs="Arial"/>
          <w:sz w:val="24"/>
          <w:szCs w:val="24"/>
        </w:rPr>
        <w:t xml:space="preserve"> Ilmu pengetahuan lahir dan batin yang terdiri dari indera, akal dan hati nurani seperti disebutkan di atas merupakan kesatuan dari sarana penalaran manusia sebagai anugerah Tuhan untuk menggali dan memperoleh pengetahuan yang utuh, komprehensif dan bijak. Pemahaman lahir dan batin pada dasarnya sama dengan unsur jasmani dan ruhani yang ada pada diri manusia.</w:t>
      </w:r>
      <w:r w:rsidRPr="002B0EFC">
        <w:rPr>
          <w:rStyle w:val="FootnoteReference"/>
          <w:rFonts w:ascii="Book Antiqua" w:hAnsi="Book Antiqua" w:cs="Arial"/>
          <w:sz w:val="24"/>
          <w:szCs w:val="24"/>
        </w:rPr>
        <w:footnoteReference w:id="412"/>
      </w:r>
      <w:r w:rsidRPr="002B0EFC">
        <w:rPr>
          <w:rFonts w:ascii="Book Antiqua" w:eastAsia="Times New Roman" w:hAnsi="Book Antiqua" w:cs="Arial"/>
          <w:sz w:val="24"/>
          <w:szCs w:val="24"/>
        </w:rPr>
        <w:t>Oleh karena itu, jika dikembalikan pada epistemologi ilmu hukum yang ternyata merupakan satukesatuan sistem, maka tidak seharusnya terjadi konflik epistemologi ilmu hukum, karena indera, akal dan hati nurani berdasarkan formasi dan struktur epistemologi memiliki kedudukan dan peran berbeda yang saling mendukung. Manusia sebagai mahluk Tuhan yang memiliki derajat tertinggi karena ilmu pengetahuannya harus mampu menempatkan formasi dan struktur Indera, akal dan hati nurani sesuai dengan kedudukan dan perannya,</w:t>
      </w:r>
      <w:r w:rsidRPr="002B0EFC">
        <w:rPr>
          <w:rFonts w:ascii="Book Antiqua" w:hAnsi="Book Antiqua" w:cs="Arial"/>
          <w:sz w:val="24"/>
          <w:szCs w:val="24"/>
          <w:vertAlign w:val="superscript"/>
        </w:rPr>
        <w:footnoteReference w:id="413"/>
      </w:r>
      <w:r w:rsidRPr="002B0EFC">
        <w:rPr>
          <w:rFonts w:ascii="Book Antiqua" w:eastAsia="Times New Roman" w:hAnsi="Book Antiqua" w:cs="Arial"/>
          <w:sz w:val="24"/>
          <w:szCs w:val="24"/>
        </w:rPr>
        <w:t>agar sistem pengetahuan yang terdapat dalam diri manusia memiliki tingkat berkeadaban tinggi seperti dikemukakan olehNaquib al-Attas. Menurut al-Attas berkeadaban merupakan pengenalan dan pengakuan tentang hakikat bahwa pengetahuan dan wujud bersifat teratur secara hirarkis sesuai dengan berbagai tingkat derajat tingkatan mereka dan tentang tempat seseorang yang tepat dalam hubungannya dengan hakikat itu sesuai dengan kapasitas dan potensi jasmaniah, intelektual dan rohaniah seseorang.</w:t>
      </w:r>
      <w:r w:rsidRPr="002B0EFC">
        <w:rPr>
          <w:rStyle w:val="FootnoteReference"/>
          <w:rFonts w:ascii="Book Antiqua" w:hAnsi="Book Antiqua" w:cs="Arial"/>
          <w:sz w:val="24"/>
          <w:szCs w:val="24"/>
        </w:rPr>
        <w:footnoteReference w:id="414"/>
      </w:r>
      <w:r w:rsidRPr="002B0EFC">
        <w:rPr>
          <w:rFonts w:ascii="Book Antiqua" w:eastAsia="Times New Roman" w:hAnsi="Book Antiqua" w:cs="Arial"/>
          <w:sz w:val="24"/>
          <w:szCs w:val="24"/>
        </w:rPr>
        <w:t xml:space="preserve">Oleh karena itu, berkeadabanmerupakan istilah yang paling tepat untuk digunakan menggambarkan pendidikan Islam yang memiliki tujuan </w:t>
      </w:r>
      <w:r w:rsidRPr="002B0EFC">
        <w:rPr>
          <w:rFonts w:ascii="Book Antiqua" w:eastAsia="Times New Roman" w:hAnsi="Book Antiqua" w:cs="Arial"/>
          <w:sz w:val="24"/>
          <w:szCs w:val="24"/>
        </w:rPr>
        <w:lastRenderedPageBreak/>
        <w:t>untuk membentuk manusia yang beradab, yaitu manusia yang memiliki kecerdasan tertinggi lahir dan batin.</w:t>
      </w:r>
      <w:r w:rsidRPr="002B0EFC">
        <w:rPr>
          <w:rStyle w:val="FootnoteReference"/>
          <w:rFonts w:ascii="Book Antiqua" w:eastAsia="Times New Roman" w:hAnsi="Book Antiqua" w:cs="Arial"/>
          <w:sz w:val="24"/>
          <w:szCs w:val="24"/>
        </w:rPr>
        <w:footnoteReference w:id="415"/>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Indera, akal dan hati nurani merupakan sarana penalaran utama dalam mengembangkan epistemologi ilmu pengetahuan yang sangat penting dan menentukan kehidupan manusia, apalagi disempurnakan dengan wahyu Tuhan yang selalu membimbing dan mengarahkan bekerjanya sarana penalaran tersebut menuju kejalan yang benar, seperti disebutkan dalam Q.S Al-Sajadah ayat 9; </w:t>
      </w:r>
      <w:r w:rsidRPr="002B0EFC">
        <w:rPr>
          <w:rFonts w:ascii="Book Antiqua" w:eastAsia="Times New Roman" w:hAnsi="Book Antiqua" w:cs="Arial"/>
          <w:i/>
          <w:sz w:val="24"/>
          <w:szCs w:val="24"/>
        </w:rPr>
        <w:t>“Kemudian dia menyempurnakan dan meniupkan ke dalamnya roh (ciptaan)-Nya dan dia menjadikan bagi kamu pendengaran, penglihatan dan hati; (tetapi) kamu sedikit sekali bersyukur.”</w:t>
      </w:r>
      <w:r w:rsidRPr="002B0EFC">
        <w:rPr>
          <w:rFonts w:ascii="Book Antiqua" w:eastAsia="Times New Roman" w:hAnsi="Book Antiqua" w:cs="Arial"/>
          <w:sz w:val="24"/>
          <w:szCs w:val="24"/>
        </w:rPr>
        <w:t>Ayat tersebut menerangkan kesempurnaan manusia dengan penggunaan indera, akal dan hati nurani dalam satu kesatuan sistem epistemologi untuk menggali dan memperoleh pengetahuan yang sesuai dengan petunjuk Tuhan. Indera, akal dan hati nurani dalam menggali dan memperoleh pengetahuan tidak berdasarkan pada kehendak pribadi manusia semata, tetapi harus diarahkan sesuai dengan jalan Tuhan, agar mendapatkan kebenaran yang hakiki.</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Ilmu hukum sebagai bagian dari hasil penalaran manusia tentu memiliki berbagai pertimbangan yang secara alamiah muncul terkait dengan cara pandang yang dihasilkan dari sarana penalaran untuk mengembangkan epistemologi, entah respon penerimaan atau penolakan yang diberikan terhadap hukum. Akan tetapi, yang terpenting adalah terdapatnya satu kesatuan sistem epistemologi dalam diri manusia yang bekerja membantu memberikan kebenaran dari sudut pandang berbeda yang saling melengkapi. Dalam konsep konvergensi epistemologi berkeadaban dalam ilmu hukum, terhadap ralitas empiris hukum yang berupa tradisi kebiasaan masyarakat yang tertangkap oleh indera akan mendapat respon dari akal secara rasional dan hati nurani secara intuisi, begitu pula sebaliknya dan seterusnya yang menunjukkan adanya sikap yang saling terkait dan berhubungan satu dengan yang lain. Menafikkan kebenaran yang dimunculkan dari sistem epistemologi berarti mengingkari diri dari kedudukan manusia sebagai mahluk </w:t>
      </w:r>
      <w:r w:rsidRPr="002B0EFC">
        <w:rPr>
          <w:rFonts w:ascii="Book Antiqua" w:eastAsia="Times New Roman" w:hAnsi="Book Antiqua" w:cs="Arial"/>
          <w:sz w:val="24"/>
          <w:szCs w:val="24"/>
        </w:rPr>
        <w:lastRenderedPageBreak/>
        <w:t xml:space="preserve">Tuhan yang sempurna dengan indera, akal dan hati nurani sebagai sarana penalaran utamanya. </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Pemahaman tertentu yang menuntut pada pengkhususan cara pandang terhadap sesuatu permasalahan tidak lagi sesuai dengan perkembangan jaman yang semakin kompleks, seperti dikatakan oleh Mark Chinen.</w:t>
      </w:r>
      <w:r w:rsidRPr="002B0EFC">
        <w:rPr>
          <w:rStyle w:val="FootnoteReference"/>
          <w:rFonts w:ascii="Book Antiqua" w:hAnsi="Book Antiqua" w:cs="Times New Roman"/>
          <w:sz w:val="24"/>
          <w:szCs w:val="24"/>
        </w:rPr>
        <w:footnoteReference w:id="416"/>
      </w:r>
      <w:r w:rsidRPr="002B0EFC">
        <w:rPr>
          <w:rFonts w:ascii="Book Antiqua" w:hAnsi="Book Antiqua" w:cs="Times New Roman"/>
          <w:sz w:val="24"/>
          <w:szCs w:val="24"/>
        </w:rPr>
        <w:t xml:space="preserve"> Ilmu pengetahuan yang berkaitan dengan manusia dan kehidupannya memiliki tingkat perkembangan yang cukup tinggi, sehingga dapat dipastikan kompleksitas yang muncul akan semakin bervariasi. Oleh karena itu, hal ini menuntut peran dari seluruh basis epistemologi ilmu pengetahuan yang ada untuk bersama-sama bersikap bijak dalam memahami segala permasalahan yang timbul. Perkembangan ilmu pengetahuan yang ditengarai menunjukkan adanya keinginan untuk menuju kearah postmodern yang lebih menekankan pada penguatan dimensi transendent dan spiritualitas sebagai bentuk penolakan dari ilmu pengetahuan yang modern dengan berdasar pada rasionalitas.</w:t>
      </w:r>
      <w:r w:rsidRPr="002B0EFC">
        <w:rPr>
          <w:rFonts w:ascii="Book Antiqua" w:hAnsi="Book Antiqua" w:cs="Times New Roman"/>
          <w:sz w:val="24"/>
          <w:szCs w:val="24"/>
          <w:vertAlign w:val="superscript"/>
        </w:rPr>
        <w:footnoteReference w:id="417"/>
      </w:r>
      <w:r w:rsidRPr="002B0EFC">
        <w:rPr>
          <w:rFonts w:ascii="Book Antiqua" w:hAnsi="Book Antiqua" w:cs="Times New Roman"/>
          <w:sz w:val="24"/>
          <w:szCs w:val="24"/>
        </w:rPr>
        <w:t xml:space="preserve"> Pandangan yang kurang benar oleh kaum modern yang lebih menekankan pada sifat pengkhususan (spesialitas) dapat mereduksi dan mempersempit nilai kebenaran, sehingga hal ini akan rawan menimbulkan konflik.</w:t>
      </w:r>
      <w:r w:rsidRPr="002B0EFC">
        <w:rPr>
          <w:rFonts w:ascii="Book Antiqua" w:hAnsi="Book Antiqua" w:cs="Times New Roman"/>
          <w:sz w:val="24"/>
          <w:szCs w:val="24"/>
          <w:vertAlign w:val="superscript"/>
        </w:rPr>
        <w:footnoteReference w:id="418"/>
      </w:r>
    </w:p>
    <w:p w:rsidR="00346169" w:rsidRPr="002B0EFC" w:rsidRDefault="00346169" w:rsidP="002B0EFC">
      <w:pPr>
        <w:spacing w:after="0" w:line="360" w:lineRule="auto"/>
        <w:ind w:firstLine="720"/>
        <w:jc w:val="both"/>
        <w:rPr>
          <w:rFonts w:ascii="Book Antiqua" w:hAnsi="Book Antiqua" w:cs="Arial"/>
          <w:iCs/>
          <w:sz w:val="24"/>
          <w:szCs w:val="24"/>
        </w:rPr>
      </w:pPr>
      <w:r w:rsidRPr="002B0EFC">
        <w:rPr>
          <w:rFonts w:ascii="Book Antiqua" w:eastAsia="Times New Roman" w:hAnsi="Book Antiqua" w:cs="Arial"/>
          <w:sz w:val="24"/>
          <w:szCs w:val="24"/>
        </w:rPr>
        <w:t xml:space="preserve">Spesialisasi yang menuntut pada pengkhususan cara pandang terhadap hukum tidak lagi sesuai dengan dinamika perkembangan yang semakin kompleks. Ilmu hukum yang berkaitan dengan manusia dan kehidupan memiliki tingkat perkembangan yang cukup tinggi, sehingga dapat dipastikan kompleksitas yang muncul akan semakin bervariasi. Oleh karena itu, menuntut peran dari seluruh sarana penalaran untuk mengembangkan epistemologi ilmu hukum yang ada untuk bersama-sama bersikap bijak dalam memahami segala permasalahan hukum yang timbul. Kemajuan ilmu pengetahuan dan teknologi yang lebih mengutamakan sarana penalaran untuk mengembangkan epistemologi indera dan akal harus diimbangi dengan perasaan yang terdapat dalam hati nurani, agar kehidupan manusia tidak kering seperti robot-robot yang tersistem dalam program tertentu. </w:t>
      </w:r>
      <w:r w:rsidRPr="002B0EFC">
        <w:rPr>
          <w:rFonts w:ascii="Book Antiqua" w:eastAsia="Times New Roman" w:hAnsi="Book Antiqua" w:cs="Arial"/>
          <w:sz w:val="24"/>
          <w:szCs w:val="24"/>
        </w:rPr>
        <w:lastRenderedPageBreak/>
        <w:t xml:space="preserve">Dalam menikmati kehidupan duniawi yang cenderung bersifat lahiriah yang didukung oleh sarana penalaran indera dan akal untuk mengembangkan epistemologi, manusia tidak boleh melupakan kehidupan ukhrowi yang cenderung bersifat batiniah yang didukung oleh sarana penalaranhati nurani untuk mengembangkan epistemologi. Hal ini seperti dikemukakan oleh al-Ghazali, bahwa untuk memperoleh kebenaran hakiki </w:t>
      </w:r>
      <w:r w:rsidRPr="002B0EFC">
        <w:rPr>
          <w:rFonts w:ascii="Book Antiqua" w:hAnsi="Book Antiqua" w:cs="Arial"/>
          <w:iCs/>
          <w:sz w:val="24"/>
          <w:szCs w:val="24"/>
        </w:rPr>
        <w:t>tidak cukup hanya dengan belajar secara intelektual,</w:t>
      </w:r>
      <w:r w:rsidRPr="002B0EFC">
        <w:rPr>
          <w:rStyle w:val="FootnoteReference"/>
          <w:rFonts w:ascii="Book Antiqua" w:hAnsi="Book Antiqua" w:cs="Arial"/>
          <w:iCs/>
          <w:sz w:val="24"/>
          <w:szCs w:val="24"/>
        </w:rPr>
        <w:footnoteReference w:id="419"/>
      </w:r>
      <w:r w:rsidRPr="002B0EFC">
        <w:rPr>
          <w:rFonts w:ascii="Book Antiqua" w:hAnsi="Book Antiqua" w:cs="Arial"/>
          <w:iCs/>
          <w:sz w:val="24"/>
          <w:szCs w:val="24"/>
        </w:rPr>
        <w:t xml:space="preserve"> tapi harus dengan olah batin.</w:t>
      </w:r>
      <w:r w:rsidRPr="002B0EFC">
        <w:rPr>
          <w:rStyle w:val="FootnoteReference"/>
          <w:rFonts w:ascii="Book Antiqua" w:hAnsi="Book Antiqua" w:cs="Arial"/>
          <w:iCs/>
          <w:sz w:val="24"/>
          <w:szCs w:val="24"/>
        </w:rPr>
        <w:footnoteReference w:id="420"/>
      </w:r>
    </w:p>
    <w:p w:rsidR="00346169" w:rsidRPr="002B0EFC" w:rsidRDefault="00346169" w:rsidP="002B0EFC">
      <w:pPr>
        <w:spacing w:after="0" w:line="360" w:lineRule="auto"/>
        <w:ind w:firstLine="720"/>
        <w:jc w:val="both"/>
        <w:rPr>
          <w:rFonts w:ascii="Book Antiqua" w:hAnsi="Book Antiqua" w:cs="Arial"/>
          <w:iCs/>
          <w:sz w:val="24"/>
          <w:szCs w:val="24"/>
        </w:rPr>
      </w:pPr>
      <w:r w:rsidRPr="002B0EFC">
        <w:rPr>
          <w:rFonts w:ascii="Book Antiqua" w:hAnsi="Book Antiqua" w:cs="Arial"/>
          <w:iCs/>
          <w:sz w:val="24"/>
          <w:szCs w:val="24"/>
        </w:rPr>
        <w:t xml:space="preserve">Konvergensi epistemologi berkeadaban dalam memahami ilmu hukum sebagai bentuk dari kesatuan sistem sarana penalaran manusia (indera, akal dan hati nurani) merupakan wujud dari </w:t>
      </w:r>
      <w:r w:rsidRPr="002B0EFC">
        <w:rPr>
          <w:rFonts w:ascii="Book Antiqua" w:hAnsi="Book Antiqua" w:cs="Arial"/>
          <w:i/>
          <w:iCs/>
          <w:sz w:val="24"/>
          <w:szCs w:val="24"/>
        </w:rPr>
        <w:t>ijtihad</w:t>
      </w:r>
      <w:r w:rsidRPr="002B0EFC">
        <w:rPr>
          <w:rFonts w:ascii="Book Antiqua" w:hAnsi="Book Antiqua" w:cs="Arial"/>
          <w:iCs/>
          <w:sz w:val="24"/>
          <w:szCs w:val="24"/>
        </w:rPr>
        <w:t xml:space="preserve"> manusia untuk senantiasa berusaha mencari satu kebenaran berdasarkan petunjuk Tuhan yang memiliki kebenaran mutlak. </w:t>
      </w:r>
      <w:r w:rsidRPr="002B0EFC">
        <w:rPr>
          <w:rFonts w:ascii="Book Antiqua" w:hAnsi="Book Antiqua" w:cs="Arial"/>
          <w:i/>
          <w:iCs/>
          <w:sz w:val="24"/>
          <w:szCs w:val="24"/>
        </w:rPr>
        <w:t xml:space="preserve">Ijtihad </w:t>
      </w:r>
      <w:r w:rsidRPr="002B0EFC">
        <w:rPr>
          <w:rFonts w:ascii="Book Antiqua" w:hAnsi="Book Antiqua" w:cs="Arial"/>
          <w:iCs/>
          <w:sz w:val="24"/>
          <w:szCs w:val="24"/>
        </w:rPr>
        <w:t>sebagai prinsip gerak dalam struktur Islam mempunyai signifikansi dalam ranah historis maupun perdebatan metodologis.</w:t>
      </w:r>
      <w:r w:rsidRPr="002B0EFC">
        <w:rPr>
          <w:rStyle w:val="FootnoteReference"/>
          <w:rFonts w:ascii="Book Antiqua" w:hAnsi="Book Antiqua" w:cs="Arial"/>
          <w:iCs/>
          <w:sz w:val="24"/>
          <w:szCs w:val="24"/>
        </w:rPr>
        <w:footnoteReference w:id="421"/>
      </w:r>
      <w:r w:rsidRPr="002B0EFC">
        <w:rPr>
          <w:rFonts w:ascii="Book Antiqua" w:hAnsi="Book Antiqua" w:cs="Arial"/>
          <w:iCs/>
          <w:sz w:val="24"/>
          <w:szCs w:val="24"/>
        </w:rPr>
        <w:t>Hal ini seperti tersirat dalam penjelasan Q.SAl-An’am ayat 151;</w:t>
      </w:r>
    </w:p>
    <w:p w:rsidR="00346169" w:rsidRPr="001B044C" w:rsidRDefault="00346169" w:rsidP="002B0EFC">
      <w:pPr>
        <w:spacing w:after="0" w:line="360" w:lineRule="auto"/>
        <w:jc w:val="both"/>
        <w:rPr>
          <w:rFonts w:ascii="Book Antiqua" w:hAnsi="Book Antiqua" w:cs="Arial"/>
          <w:i/>
          <w:iCs/>
          <w:sz w:val="24"/>
          <w:szCs w:val="24"/>
        </w:rPr>
      </w:pPr>
      <w:r w:rsidRPr="002B0EFC">
        <w:rPr>
          <w:rFonts w:ascii="Book Antiqua" w:hAnsi="Book Antiqua" w:cs="Arial"/>
          <w:i/>
          <w:iCs/>
          <w:sz w:val="24"/>
          <w:szCs w:val="24"/>
        </w:rPr>
        <w:t>“Katakanlah (Muhammad), “Marilah aku bacakan apa yang diharamkan Tuhan kepadmu. Jangan mempersekutukan-Nya dengan apapun, berbuat baik kepada ibu bapak, janganlah membunuh anak-anakmu karena miskin. Kamilah yang memberi rezeki kepadamu dan kepada mereka; janganlah kamu mendekati perbuatan yang keji, baik yang terlihat ataupun yang tersembunyi, janganlah kamu membunuh orang yang diharamkan Allah kecuali dengan alasan yang benar. Demikian Dia memerintahkan kepadamu agar kamu mengerti.”</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hAnsi="Book Antiqua" w:cs="Arial"/>
          <w:iCs/>
          <w:sz w:val="24"/>
          <w:szCs w:val="24"/>
        </w:rPr>
        <w:t xml:space="preserve">Dalam ayat tersebut di atas menjelaskan bagaimana manusia (Muhammad SAW) diperintahkan oleh Tuhan untuk memahami sesuatu pengetahuan dengan baik dan benar melalui penggunaan sarana penalaran indera, akal dan hati nurani. Kata-kata; “bacakan, terlihat ataupun tersembunyi, dan mengerti” secara tidak langsung telah menunjukkan penggunaan sarana penalaran indera, akal dan hati nurani dalamsatu kesatuan sistem penalaran epistemologi manusia secara bersama-sama pada tingkat tertinggi untuk mencapai satu titik temu kebenaran hakiki.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lastRenderedPageBreak/>
        <w:t xml:space="preserve">Kebenaran yang dihasilkan dari cara kerja masing-masing sarana penalaran untuk mengembangkan epistemologi ilmu hukum harus dihargai sebagai dasar penerimaan yang pada tahap selanjutnya dapat diperbaiki dan diperbarui dengan epistemologi yang lain, agar nilai kebenaran yang dimaksud memiliki kesesuaian dan saling melengkapi. Dengan demikian, terhadap sesuatu permasalahan hukum yang hanya memiliki kecenderungan untuk dikaji dari satu sudut pandang sarana penalaran untuk mengembangkan epistemologi, maka dapat dilakukan progres yang lebih aktif dengan melibatkan sarana penalaran epistemologi yang lain secara bersama, sehingga kebenaran yang dihasilkan merupakan satu titik temu dari berbagai persepsi pemahaman yang ada dalam sarana penalaran epistemologi ilmu hukum. Hal ini dapat dicapai seperti telah dijelaskan di depan dalam tahap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dan</w:t>
      </w:r>
      <w:r w:rsidRPr="002B0EFC">
        <w:rPr>
          <w:rFonts w:ascii="Book Antiqua" w:eastAsia="Times New Roman" w:hAnsi="Book Antiqua" w:cs="Arial"/>
          <w:i/>
          <w:sz w:val="24"/>
          <w:szCs w:val="24"/>
        </w:rPr>
        <w:t xml:space="preserve"> improvement</w:t>
      </w:r>
      <w:r w:rsidRPr="002B0EFC">
        <w:rPr>
          <w:rFonts w:ascii="Book Antiqua" w:eastAsia="Times New Roman" w:hAnsi="Book Antiqua" w:cs="Arial"/>
          <w:sz w:val="24"/>
          <w:szCs w:val="24"/>
        </w:rPr>
        <w:t xml:space="preserve"> terhadap epistemologi ilmu hukum, sehingga tanpa ada dua tahap penting tersebut mustahil kiranya untuk mendapatkan satu titik temu epistemologi ilmu hukum yang dapat disepakati bersama.</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Konsepkonvergensi epistemologi berkeadaban dalam ilmu hukum bukan hanya sekedar upaya penyatuan, akan tetapi lebih dari itu merupakan suatu bentuk dari pemahaman bersama yang saling menyadari untuk mencapai satu titik temu tertinggi dari kebenaran ilmu hukum yang utuh, komprehensif dan bijak. Hal itu dapat dipahami dari kerangka konseptual teoritik yang menjelaskan tentang berkeadaban sebagai </w:t>
      </w:r>
      <w:r w:rsidRPr="002B0EFC">
        <w:rPr>
          <w:rFonts w:ascii="Book Antiqua" w:hAnsi="Book Antiqua" w:cs="Arial"/>
          <w:sz w:val="24"/>
          <w:szCs w:val="24"/>
        </w:rPr>
        <w:t>kata yang memiliki arti ketinggian tingkat kecerdasan lahir batin.</w:t>
      </w:r>
      <w:r w:rsidRPr="002B0EFC">
        <w:rPr>
          <w:rStyle w:val="FootnoteReference"/>
          <w:rFonts w:ascii="Book Antiqua" w:eastAsia="Calibri" w:hAnsi="Book Antiqua" w:cs="Arial"/>
          <w:sz w:val="24"/>
          <w:szCs w:val="24"/>
        </w:rPr>
        <w:footnoteReference w:id="422"/>
      </w:r>
      <w:r w:rsidRPr="002B0EFC">
        <w:rPr>
          <w:rFonts w:ascii="Book Antiqua" w:hAnsi="Book Antiqua" w:cs="Arial"/>
          <w:sz w:val="24"/>
          <w:szCs w:val="24"/>
        </w:rPr>
        <w:t xml:space="preserve"> Kecerdasan lahir yang didukung oleh indera dan akal, sedangkan kecerdasan batin yang didukung oleh hati nurani.</w:t>
      </w:r>
      <w:r w:rsidRPr="002B0EFC">
        <w:rPr>
          <w:rStyle w:val="FootnoteReference"/>
          <w:rFonts w:ascii="Book Antiqua" w:hAnsi="Book Antiqua" w:cs="Arial"/>
          <w:sz w:val="24"/>
          <w:szCs w:val="24"/>
        </w:rPr>
        <w:footnoteReference w:id="423"/>
      </w:r>
      <w:r w:rsidRPr="002B0EFC">
        <w:rPr>
          <w:rFonts w:ascii="Book Antiqua" w:hAnsi="Book Antiqua" w:cs="Arial"/>
          <w:sz w:val="24"/>
          <w:szCs w:val="24"/>
        </w:rPr>
        <w:t xml:space="preserve"> Manusia, seperti dikemukakan al-Ghazali pada hakikatnya memiliki satu kesatuan sistem pengetahuan dalam dirinya yang terdiri dari pengetahuan lahir dan batin, sehingga tanpa adanya keadaban dalam diri manusia akan menjadi tidak sempurna dan tidak dikehendaki oleh Tuhan. Hal ini sesuai dengan perintah Tuhandalam wahyu al-Quran yang </w:t>
      </w:r>
      <w:r w:rsidRPr="002B0EFC">
        <w:rPr>
          <w:rFonts w:ascii="Book Antiqua" w:eastAsia="Times New Roman" w:hAnsi="Book Antiqua" w:cs="Arial"/>
          <w:sz w:val="24"/>
          <w:szCs w:val="24"/>
        </w:rPr>
        <w:t>mewajibkan manusia untuk mengaktualisasikan indera, akal dan hati nurani tersebut secara maksimal dan Tuhan sangat memurkai orang-orang yang tidak mau menggunakan sarana penalaran tersebut.</w:t>
      </w:r>
      <w:r w:rsidRPr="002B0EFC">
        <w:rPr>
          <w:rStyle w:val="FootnoteReference"/>
          <w:rFonts w:ascii="Book Antiqua" w:eastAsia="Times New Roman" w:hAnsi="Book Antiqua" w:cs="Arial"/>
          <w:sz w:val="24"/>
          <w:szCs w:val="24"/>
        </w:rPr>
        <w:footnoteReference w:id="424"/>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lastRenderedPageBreak/>
        <w:t xml:space="preserve">Dalam konsepkonvergensi berkeadaban perlu memahami formasi dan struktur epistemologi ilmu hukum sebagai bentuk instrumental dengan peran dan fungsinya dalam sistem epistemologi ilmu hukum yang saling mempengaruhi. Formasi yang menyangkut pembicaraan terkait dengan eksistensi kedudukan epistemologi ilmu hukum yang berupa pengakuan atas indera, akal dan hati nuranisebagai sarana penalaran utama dalam mengembangkan epistemologi ilmu hukum. Hal ini sebagaimana dalam pemahaman ilmu pengetahuan secara umum, bahwa manusia pada hakikatnya memiliki sarana penalaran utama dalam mengembangkan epistemologi pengetahuanyang berupa indera, akal dan hati nurani. Ketiga sarana penalaran utama untuk mengembangkan epistemologi ilmu pengetahuan tersebut harus digunakan secara bersama-sama saling melengkapi kelebihan dan memperbaiki kelemahan, sehingga keberadaannya menjadi instrumen penting untuk menggali dan memperoleh pengetahuan yang benar. Dalam konsep konvergensi berkeadaban ilmu hukum, formasi epistemologi ilmu hukum menunjukkan satu kesatuan lahir dan batin dari sarana penalaran utama dalam mengembangkan epistemologi ilmu hukum untuk menggali dan memperoleh kebenaransecara utuh, komprehensif dan bijak. Artinya, secara lahir manusia memiliki sarana penalaran yang berupa Indera dan akal, sedangkan secara batin manusia memilikisarana penalaran yang berupa hati nurani.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Secara struktural setiap sarana penalaran untuk mengembangkan epistemologi ilmu hukum memiliki peran dan fungsi yang berbeda, oleh karena ituharus dipahami sebagai satu kesatuan sistem epistemologi yang dapat digunakan untuk saling melengkapi dan memperbaiki guna memperoleh titik temu pemahaman yang tidak hanya cerdas tetapi juga bijaksana, seperti perintah Tuhan kepada manusia untuk menggunakan ketiga sarana penalaran tersebut dimaksudkan agar mereka mampu meraih hikmah kebijaksanaan kebenaran pengetahuan.</w:t>
      </w:r>
      <w:r w:rsidRPr="002B0EFC">
        <w:rPr>
          <w:rStyle w:val="FootnoteReference"/>
          <w:rFonts w:ascii="Book Antiqua" w:eastAsia="Times New Roman" w:hAnsi="Book Antiqua" w:cs="Arial"/>
          <w:sz w:val="24"/>
          <w:szCs w:val="24"/>
        </w:rPr>
        <w:footnoteReference w:id="425"/>
      </w:r>
      <w:r w:rsidRPr="002B0EFC">
        <w:rPr>
          <w:rFonts w:ascii="Book Antiqua" w:eastAsia="Times New Roman" w:hAnsi="Book Antiqua" w:cs="Arial"/>
          <w:sz w:val="24"/>
          <w:szCs w:val="24"/>
        </w:rPr>
        <w:t xml:space="preserve">Peran dan fungsi indera secara induktif untuk menggali dan memperoleh kebenaran hukum empiris dalam tradisi kebiasaan masyarakat tidak akan pernah tergantikan oleh peran dan fungsi akal secara deduktif dalam sistem norma positif dan intuisis hati nurani dalam perasaan batin. Oleh karena itu, </w:t>
      </w:r>
      <w:r w:rsidRPr="002B0EFC">
        <w:rPr>
          <w:rFonts w:ascii="Book Antiqua" w:eastAsia="Times New Roman" w:hAnsi="Book Antiqua" w:cs="Arial"/>
          <w:sz w:val="24"/>
          <w:szCs w:val="24"/>
        </w:rPr>
        <w:lastRenderedPageBreak/>
        <w:t xml:space="preserve">kebenaran dalam konsep konvergensi epistemologi berkeadaban merupakan hasil pencapaian maksimal dan kesepakatan bersama dari peran dan fungsi Indera secara empiris, akal secara rasional dan hati nurani secara intuisi. Kesatuan sistem epistemologi dapat tercapai melalui proses </w:t>
      </w:r>
      <w:r w:rsidRPr="002B0EFC">
        <w:rPr>
          <w:rFonts w:ascii="Book Antiqua" w:eastAsia="Times New Roman" w:hAnsi="Book Antiqua" w:cs="Arial"/>
          <w:i/>
          <w:sz w:val="24"/>
          <w:szCs w:val="24"/>
        </w:rPr>
        <w:t xml:space="preserve">mutual understanding </w:t>
      </w:r>
      <w:r w:rsidRPr="002B0EFC">
        <w:rPr>
          <w:rFonts w:ascii="Book Antiqua" w:eastAsia="Times New Roman" w:hAnsi="Book Antiqua" w:cs="Arial"/>
          <w:sz w:val="24"/>
          <w:szCs w:val="24"/>
        </w:rPr>
        <w:t>dan</w:t>
      </w:r>
      <w:r w:rsidRPr="002B0EFC">
        <w:rPr>
          <w:rFonts w:ascii="Book Antiqua" w:eastAsia="Times New Roman" w:hAnsi="Book Antiqua" w:cs="Arial"/>
          <w:i/>
          <w:sz w:val="24"/>
          <w:szCs w:val="24"/>
        </w:rPr>
        <w:t xml:space="preserve"> improvement</w:t>
      </w:r>
      <w:r w:rsidRPr="002B0EFC">
        <w:rPr>
          <w:rFonts w:ascii="Book Antiqua" w:eastAsia="Times New Roman" w:hAnsi="Book Antiqua" w:cs="Arial"/>
          <w:sz w:val="24"/>
          <w:szCs w:val="24"/>
        </w:rPr>
        <w:t>, sehingga pada kedua tahap tersebut merupakan bentuk dari proses rekontruksi formasi dan struktur epistemologi ilmu hukum. Suatu pembaruan yang baik harus bijak dengan tidak meningggalkan pamahaman yang bersifat mendasar untuk mendapatkan alas pijakan yang kuat untuk dapat melakukan lompatan yang jauh ke depan. Artinya, untuk menawarkan konsepkonvergensi berkeadaban harus menggunakan sarana penalaran utama dalam mengembangkan epistemologi ilmu hukum yang berupa; indera, akal dan hati nurani, sehingga dengan itu dapat digunakan untuk membentuk konsep yang lebih fundamental.</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Konsep konvergensi berkeadaban merupakan bentuk dari kesatuan sistem epistemologi ilmu hukum yang sangat ditentukan oleh cara pandang dan pemahaman manusia terhadap objek, metode penalaran dan kemanfaatan epistemologi ilmu hukum dalam mencapai satu titik temu kebenaran bersama. Objek hukum yang berupa permasalahan hukum jika ditarik ke dalam sarana penalaran untuk mengembangkan epistemologi ilmu hukum tertentu, maka akan menjadi objek dari epistemologi ilmu hukum tersebut. Oleh karena itu, pada dasarnya terhadap objek hukum dapat dipandang dari berbagai sudut pandang sarana penalaran untuk mengembangkan epistemologi ilmu hukum, sehingga dengan masuknya objek hukum ke dalam semua sarana penalaran untuk mengembangkan epistemologi ilmu hukum, maka dapat digunakan beberapa metode penalaranepistemologi ilmu hukum yang ada dan hal ini tentu akan mendapat kemanfaatan hukum yang lebih luas sesuai dengan sarana penalaran untuk mengembangkan epistemologi ilmu hukum yang digunakan. Pada dasarnya sarana penalaran untuk mengembangkan epistemologi ilmu hukum merupakan satu kesatuan sistem yang terdapat dalam diri manusia.Keberadaan indera, akal dan hati nurani yang melekat dalam sistem epistemologi manusia, seperti disebutkan dalam Q.S Al-Sajadah ayat 9; “</w:t>
      </w:r>
      <w:r w:rsidRPr="002B0EFC">
        <w:rPr>
          <w:rFonts w:ascii="Book Antiqua" w:eastAsia="Times New Roman" w:hAnsi="Book Antiqua" w:cs="Arial"/>
          <w:i/>
          <w:sz w:val="24"/>
          <w:szCs w:val="24"/>
        </w:rPr>
        <w:t xml:space="preserve">Kemudian dia menyempurnakan dan meniupkan ke dalamnya roh (ciptaan)-Nya dan dia menjadikan bagi kamu pendengaran, penglihatan dan </w:t>
      </w:r>
      <w:r w:rsidRPr="002B0EFC">
        <w:rPr>
          <w:rFonts w:ascii="Book Antiqua" w:eastAsia="Times New Roman" w:hAnsi="Book Antiqua" w:cs="Arial"/>
          <w:i/>
          <w:sz w:val="24"/>
          <w:szCs w:val="24"/>
        </w:rPr>
        <w:lastRenderedPageBreak/>
        <w:t xml:space="preserve">hati; (tetapi) kamu sedikit sekali bersyukur”. </w:t>
      </w:r>
      <w:r w:rsidRPr="002B0EFC">
        <w:rPr>
          <w:rFonts w:ascii="Book Antiqua" w:eastAsia="Times New Roman" w:hAnsi="Book Antiqua" w:cs="Arial"/>
          <w:sz w:val="24"/>
          <w:szCs w:val="24"/>
        </w:rPr>
        <w:t>Dalam ayat tersebut, indera, akal dan hati nurani sebagai anugerah Tuhan yang menyempurnakan kedudukan manusia sebagai mahluk yang memiliki nalar lebih tinggi dari mahluk yang lain,</w:t>
      </w:r>
      <w:r w:rsidRPr="002B0EFC">
        <w:rPr>
          <w:rStyle w:val="FootnoteReference"/>
          <w:rFonts w:ascii="Book Antiqua" w:eastAsia="Times New Roman" w:hAnsi="Book Antiqua" w:cs="Arial"/>
          <w:sz w:val="24"/>
          <w:szCs w:val="24"/>
        </w:rPr>
        <w:footnoteReference w:id="426"/>
      </w:r>
      <w:r w:rsidRPr="002B0EFC">
        <w:rPr>
          <w:rFonts w:ascii="Book Antiqua" w:eastAsia="Times New Roman" w:hAnsi="Book Antiqua" w:cs="Arial"/>
          <w:sz w:val="24"/>
          <w:szCs w:val="24"/>
        </w:rPr>
        <w:t>sehingga tergantung dari bagaimana manusiamenggunakan sarana penalaran untuk mengembangkan epistemologi ilmu hukum tersebut.</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Permasalahan hukum yang merupakan objek hukum dapat berupa segala hal yang menjadi bahan kajian dalam ilmu hukum, sehingga ketika permasalahan hukum tersebut masuk menjadi objek sarana penalaran untuk mengembangkan epistemologi ilmu hukum, maka akan disesuaikan dengan formasi dan struktur sarana penalaran untuk mengembangkan epistemologi ilmu hukum tersebut. Seperti contoh kasus pencurian, dapat menjadi objek epistemologi ilmu hukum yang dikembangkan dengan sarana penalaran indera dengan melihat bagaimana realitas kasus tersebut di lapangan, sehingga dapat dianalisis secara induktif untuk memperoleh kebenaran hukum kasus pencurian yang bersifat khusus dari beberapa kasus serupa yang bersifat umum yang sering terjadi di masyarakat. Dengan begitu, terhadap kasus tersebut dapat dilihat secara empiris apakah bertentangan dengan realitas masyarakat secara umum. Kasus pencurian tersebut juga dapat menjadi objek epistemologi ilmu hukum yang dikembangkan dengan sarana penalaran akal dengan memahaminya melalui peraturan perundang-undangan, sehingga dapat dianalaisis secara deduktif untuk memperoleh kebenaran hukum yang bersifat umum sebagaimana telah ditetapkan dalam peraturan perundang-undangan terhadap kasus-kasus tertentu yang terjadi. Dengan begitu, terhadap kasus tersebut dapat dipahami secara rasional apakah melanggar peraturan perundang-undangan. Kasus pencurian tersebut juga dapat menjadi objek epistemologi ilmu hukum yang dikembangkan dengan sarana penalaran hati nurani dengan merasakannya melalui perasaan yang terdapat dalam benak batin, sehingga terhadap kasus pencurian tersebut dapat dinalar secara intuitif. Dengan begitu, terhadap kasus tersebut dapat </w:t>
      </w:r>
      <w:r w:rsidRPr="002B0EFC">
        <w:rPr>
          <w:rFonts w:ascii="Book Antiqua" w:eastAsia="Times New Roman" w:hAnsi="Book Antiqua" w:cs="Arial"/>
          <w:sz w:val="24"/>
          <w:szCs w:val="24"/>
        </w:rPr>
        <w:lastRenderedPageBreak/>
        <w:t>dirasakan apakah telah menyinggung perasaan hati nurani hingga membuat manusia tidak tenang dan tentram hidupnya.</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b. Kesempurnaan nalar dalam mencapai kebenaran hakiki</w:t>
      </w:r>
    </w:p>
    <w:p w:rsidR="00346169" w:rsidRPr="002B0EFC" w:rsidRDefault="00346169" w:rsidP="002B0EFC">
      <w:pPr>
        <w:spacing w:after="0" w:line="360" w:lineRule="auto"/>
        <w:ind w:firstLine="720"/>
        <w:jc w:val="both"/>
        <w:rPr>
          <w:rFonts w:ascii="Book Antiqua" w:eastAsia="Times New Roman" w:hAnsi="Book Antiqua" w:cs="Times New Roman"/>
          <w:sz w:val="24"/>
          <w:szCs w:val="24"/>
        </w:rPr>
      </w:pPr>
      <w:r w:rsidRPr="002B0EFC">
        <w:rPr>
          <w:rFonts w:ascii="Book Antiqua" w:eastAsia="Times New Roman" w:hAnsi="Book Antiqua" w:cs="Times New Roman"/>
          <w:sz w:val="24"/>
          <w:szCs w:val="24"/>
        </w:rPr>
        <w:t>Konsep konvergensi epistemologi berkeadaban dalam ilmu hukum merupakan capaian tertinggi dari satu kesatuan sistem sarana penalaranindera, akal dan hati nurani untuk mengembangkan epistemologi dalam memperoleh kesempurnaan nalar guna mencapai kebenaran ilmu hukum yang hakiki. Berdasarkan kerangka konseptual teoritik tersebut di atas, maka konsep konvergensi epistemologi berkeadaban dapat menjelaskan derajat tertinggi kesempurnaan manusia karena dalam dirinya memiliki ilmu pengetahuan yang bersifat lahir dan batin. Manusia yang sempurna adalah manusia yang dalam dirinya terdapat kemampuan lahir dan batin yang berdasar pada indera, akal dan hati nurani, sehingga dengan kemampuan tersebutmanusia ditunjuk oleh Tuhan menjadi khalifah di muka bumi. Manusia yang beradab adalah manusia yang mengetahui, memahami dan mengaktualisasikan indera, akal dan hati nurani secara maksimal dan bersama-sama untuk saling melengkapi. Dengan demikian, maka manusia mendapatkan kesempurnaan dari sarana penalaran untuk memperoleh pengetahuan. Penggunaan indera, akal dan hati nurani dengan baik dan bijak sesuai dengan petunjuk Tuhan menghantarkan manusia mencapai kebenaran hakiki Tuhan.</w:t>
      </w:r>
      <w:r w:rsidRPr="002B0EFC">
        <w:rPr>
          <w:rFonts w:ascii="Book Antiqua" w:hAnsi="Book Antiqua" w:cs="Arial"/>
          <w:sz w:val="24"/>
          <w:szCs w:val="24"/>
          <w:vertAlign w:val="superscript"/>
        </w:rPr>
        <w:footnoteReference w:id="427"/>
      </w:r>
    </w:p>
    <w:p w:rsidR="00346169" w:rsidRPr="002B0EFC" w:rsidRDefault="00346169" w:rsidP="002B0EFC">
      <w:pPr>
        <w:spacing w:after="0" w:line="360" w:lineRule="auto"/>
        <w:ind w:firstLine="720"/>
        <w:jc w:val="both"/>
        <w:rPr>
          <w:rFonts w:ascii="Book Antiqua" w:eastAsia="Times New Roman" w:hAnsi="Book Antiqua" w:cs="Times New Roman"/>
          <w:sz w:val="24"/>
          <w:szCs w:val="24"/>
        </w:rPr>
      </w:pPr>
      <w:r w:rsidRPr="002B0EFC">
        <w:rPr>
          <w:rFonts w:ascii="Book Antiqua" w:eastAsia="Times New Roman" w:hAnsi="Book Antiqua" w:cs="Times New Roman"/>
          <w:sz w:val="24"/>
          <w:szCs w:val="24"/>
        </w:rPr>
        <w:t>Menurut Naquib al-Attas, manusia beradab adalah manusia yang mampu memahami dan meletakkan sesuatu pada tempatnya, sesuai dengan harkat dan martabatnya yang ditentukan oleh Allah.</w:t>
      </w:r>
      <w:r w:rsidRPr="002B0EFC">
        <w:rPr>
          <w:rStyle w:val="FootnoteReference"/>
          <w:rFonts w:ascii="Book Antiqua" w:eastAsia="Times New Roman" w:hAnsi="Book Antiqua" w:cs="Times New Roman"/>
          <w:sz w:val="24"/>
          <w:szCs w:val="24"/>
        </w:rPr>
        <w:footnoteReference w:id="428"/>
      </w:r>
      <w:r w:rsidRPr="002B0EFC">
        <w:rPr>
          <w:rFonts w:ascii="Book Antiqua" w:eastAsia="Times New Roman" w:hAnsi="Book Antiqua" w:cs="Times New Roman"/>
          <w:sz w:val="24"/>
          <w:szCs w:val="24"/>
        </w:rPr>
        <w:t xml:space="preserve"> Hal tersebut, jika ditarik ke dalam pemahaman terkait dengan sarana penalaran untuk mengembangkan epistemologi ilmu hukum, maka manusia yang beradab adalah manusia yang mampu memahami dan meletakkan indera, akal dan hati nurani sebagai sarana penalaran untuk menggali dan memperoleh ilmu hukum sesuai dengan formasi dan strukturepistemologimanusia yang memiliki harkat dan martabat sebagai mahluk </w:t>
      </w:r>
      <w:r w:rsidRPr="002B0EFC">
        <w:rPr>
          <w:rFonts w:ascii="Book Antiqua" w:eastAsia="Times New Roman" w:hAnsi="Book Antiqua" w:cs="Times New Roman"/>
          <w:sz w:val="24"/>
          <w:szCs w:val="24"/>
        </w:rPr>
        <w:lastRenderedPageBreak/>
        <w:t>Tuhan yang sempurna.Kesatuan sistem epistemologi tersebut pada tingkat lefel tertinggi dapat mencapai kesempurnaan nalar pada manusia, yaitu satu titik temu formasi dan struktur indera, akal dan hati nurani pada tingkat metode penalaran tertinggi dalam menggali dan memperoleh pengetahuan. Kesempurnaan nalar tersebut merupakan prasyarat wajib yang harus diperoleh manusia dalam upaya mencapai kebenaran hakiki dari Tuhan, oleh karena hanya dengan mengikuti perintah dan petunjuk-Nya manusia akan mendapat kebenaran dari Tuhan. Artinya, penggunaan indera, akal dan hati nurani merupakan perintah dan petunjuk Tuhan bagi manusia untuk menggali dan memperoleh pengetahuan yang hakiki.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eastAsia="Times New Roman" w:hAnsi="Book Antiqua" w:cs="Times New Roman"/>
          <w:sz w:val="24"/>
          <w:szCs w:val="24"/>
        </w:rPr>
        <w:t xml:space="preserve">Al-Quran sebagai kitab suci umat Islam merupakan petunjuk yang berisi </w:t>
      </w:r>
      <w:r w:rsidRPr="002B0EFC">
        <w:rPr>
          <w:rFonts w:ascii="Book Antiqua" w:hAnsi="Book Antiqua" w:cs="Times New Roman"/>
          <w:sz w:val="24"/>
          <w:szCs w:val="24"/>
        </w:rPr>
        <w:t>berisi berbagai macam ilmu pengetahuan yang sangat luas dan tidak terbatas, sehingga Islam sebagai agama yang identik dengan ilmu pengetahuan. Oleh karena itu, Islam sangat menghargai dan menjunjung tinggi ilmu pengetahuan. Ibadah tanpa dilandasi ilmu pengetahuan tidak bernilai apapun, sedangkan berilmu pengetahuan tanpa dasar ibadah akan mengkufurkan manusia. Islam sebagaimana disebutkan dalam al-Quran dapat membentuk dan mengarahkan semua kegiatan berdasarkan ilmu pengetahuan. Al-Quran bahkan menjadi pedoman utama dalam Islam yang mampu menjadi dasar terhadap segala permasalahan yang terjadi, seperti pandangan Ziauddin Sardar tentang keilmiahan Islam dalam al-Quran dapat dapahami dengan adanya metodologi filsafat tentang epistemologi ilmu pengetahuan manusia yang berdasar pada sarana penalaran indera, akal dan hati nurani.</w:t>
      </w:r>
      <w:r w:rsidRPr="002B0EFC">
        <w:rPr>
          <w:rStyle w:val="FootnoteReference"/>
          <w:rFonts w:ascii="Book Antiqua" w:hAnsi="Book Antiqua" w:cs="Times New Roman"/>
          <w:sz w:val="24"/>
          <w:szCs w:val="24"/>
        </w:rPr>
        <w:footnoteReference w:id="429"/>
      </w:r>
      <w:r w:rsidRPr="002B0EFC">
        <w:rPr>
          <w:rFonts w:ascii="Book Antiqua" w:hAnsi="Book Antiqua" w:cs="Times New Roman"/>
          <w:sz w:val="24"/>
          <w:szCs w:val="24"/>
        </w:rPr>
        <w:t xml:space="preserve"> Tuhan telah menciptakan indera, akal dan hati nurani untuk digunakan manusia menggali dan memperoleh ilmu pengetahuan, sehingga hal inilah yang membedakan manusia dengan mahluk yang lainnya. Manusia dengan anugerah sarana penalaran untuk mengembangkan epistemologi tersebut dapat mencapai kesempurnaan nalar, termasuk dalam memahami epistemologi ilmu hukum. Kesatuan sistem epistemologi tersebut pada dasarnya telah melekat pada diri manusia sebagai penyempurna nalar pengetahuan yang harusdijalankan sesuai dengan petunjuk Tuhan sebagaimana banyak disebutkan dalam al-Quran tentang </w:t>
      </w:r>
      <w:r w:rsidRPr="002B0EFC">
        <w:rPr>
          <w:rFonts w:ascii="Book Antiqua" w:hAnsi="Book Antiqua" w:cs="Times New Roman"/>
          <w:sz w:val="24"/>
          <w:szCs w:val="24"/>
        </w:rPr>
        <w:lastRenderedPageBreak/>
        <w:t>bagaimana manusia harus menggunakan indera, akal dan hati nurani, sehingga dengan itu manusia mampu mencapai kebenaran hakiki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Dalam konsepkonvergensi epistemologi berkeadaban, Indera, akal dan hati nurani sebagai sarana penalaran utama untuk mengembangkan epistemologi ilmu hukum telah menjadi suatu kesatuan sistem yang saling berhubungan dan terkait dalam diri manusia sebagai anugerah Tuhan. Ketiga sarana penalaran tersebut merupakan instrumen utama untuk mengembangkan epistemologi ilmu pengetahuan yang sangat penting dan menentukan jalan yang benar dalam kehidupan manusia, karena disempurnakan dengan al-Quran melalui nilai-nilai ajaran agama Islam yang selalu membimbing dan mengarahkan indera, akal dan hati nurani untuk senantiasa digunakan dalam satu kesatuan sistem yang saling mendukung guna membentuk kesempurnaan nalar manusia. Hal itu dapat tercapai dengan konsepkonvergensi epistemologi berkeadaban sebagaimana telah dijelaskan dalam al-Quran tentang perintah Tuhan kepada manusia agar selalu menggunakan indera, akal dan hati nurani dengan bijak untuk menuju tingkat tertinggi kecerdasan lahir dan batin, sehingga dengan kesatuan pengetahuan lahir dan batin secara epistemologi menunjukkan kesempurnaan nalar manusia yang pada tahap selanjutnya dan paling utama adalah dapat digunakan untuk mencapai kebenaran hakiki Tuhan. Oleh karena itu, untuk dapat membangun kehidupan spitirualitas dalam diri manusia, maka penting sekali menjalin hubungan baik dengan Tuhan yang bebas tanpa gangguanseperti layaknya itu sebagai suatu hak asasi manusia.</w:t>
      </w:r>
      <w:r w:rsidRPr="002B0EFC">
        <w:rPr>
          <w:rFonts w:ascii="Book Antiqua" w:hAnsi="Book Antiqua" w:cs="Times New Roman"/>
          <w:sz w:val="24"/>
          <w:szCs w:val="24"/>
          <w:vertAlign w:val="superscript"/>
        </w:rPr>
        <w:footnoteReference w:id="430"/>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Konsep konvergensi epistemologi berkeadaban dalam ilmu hukum yang mampu menghasilkan formasi dan struktur nalar yang sempurna untuk mencapai kebenaran hakiki Tuhan seperti dapat dipahami dalam Q.S al-Hujuraat ayat 13 yang berisi tentang derajat tertinggi manusia pada dasarnya ditentukan oleh iman dan taqwanya kepada Tuhan. Pemaknaan iman dan taqwa kepada Tuhan jika ditarik ke dalam pemahaman yang terkait dengan epistemologi, maka hal itu dapat diartikan sebagai bentuk penggunaan indera, akal dan hati nuraniyang sesuai dengan petunjuk Tuhan. Manusia oleh Tuhan dianugerahi sarana penalaran untuk </w:t>
      </w:r>
      <w:r w:rsidRPr="002B0EFC">
        <w:rPr>
          <w:rFonts w:ascii="Book Antiqua" w:hAnsi="Book Antiqua" w:cs="Times New Roman"/>
          <w:sz w:val="24"/>
          <w:szCs w:val="24"/>
        </w:rPr>
        <w:lastRenderedPageBreak/>
        <w:t>mengembangkan epistemologi tersebut agar memiliki kesempurnaan dalam dirinya, khususnya kesempurnaan nalar. Manusia yang beriman dan bertaqwa sebagaimana dikemukakan oleh Naquib al-Attas adalah manusia yang beradab, yaitu manusia yang mampu meletakkan segala sesuatu pada tempatnya yang benar, sehingga dalam menjalankan segala kehidupannya akan senantiasa menggunakan sarana penalaran indera, akal dan hati nurani untuk mengembangkan epistemologipengetahuan yang benar, sedangkan pengetahuan yang benar adalah pengetahuan hakiki yang bersumber dari Tuhan. Dengan demikian, maka pengetauan hakiki dari Tuhan hanya akan diperoleh manusia yang beriman dan bertaqwa kepada Tuhan dengan cara menggunakan indera, akal dan hati nuraninya secara keseluruhan dan bersama-sama dalam satu kesatuan sistem epistemologi sesuai dengan petunjuk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Dalam Q.S al-Mujadilah ayat 11 telah disebutkan; </w:t>
      </w:r>
      <w:r w:rsidRPr="002B0EFC">
        <w:rPr>
          <w:rFonts w:ascii="Book Antiqua" w:hAnsi="Book Antiqua" w:cs="Times New Roman"/>
          <w:i/>
          <w:sz w:val="24"/>
          <w:szCs w:val="24"/>
        </w:rPr>
        <w:t>“Allah akan meninggikan orang-orang yang beriman diantara kamu dan orang-orang yang diberi ilmu beberapa derajat.”</w:t>
      </w:r>
      <w:r w:rsidRPr="002B0EFC">
        <w:rPr>
          <w:rFonts w:ascii="Book Antiqua" w:hAnsi="Book Antiqua" w:cs="Times New Roman"/>
          <w:sz w:val="24"/>
          <w:szCs w:val="24"/>
        </w:rPr>
        <w:t xml:space="preserve"> Dalam ayat tersebut terdapat keutamaan bagi orang-orang yang beriman dan berilmu, yaitu orang-orang yang mampu menggunakan sarana penalaran indera, akal dan hati nurani dalam mengembangkan epistemologi untuk menggali dan memperoleh ilmu pengetahuan yang benar, sehingga dengan ilmu pengetahuannya yang benar manusia akan memiliki iman kepada Tuhan. Hal ini secara ilmiah dapat dipahami, bahwa segala ilmu pengetahuan yang telah dicapai manusia pada dasarnya digali dan diperoleh melalui indera, akal dan hati nurani. Manusia, tanpa sarana penalaran yang merupakan anugerah Tuhan tersebut adalah orang yang tidak memiliki pengetahuan apa punseperti hewan ternak dan sebagai akibatnya manusia mengalami kesesatan dalam hidupnya sebagaimana telah disebutkan dalam Q.S al -A’raaf ayat 179;</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sesungguhnya kami jadikan untuk isi neraka jahannam kebanyakan dari jin dan manusi; mereka mempunyai qalbu tapi tidak untuk memahami (ayat-ayat Allah) dan mereka mempunyai mata (tetapi) tidak digunkan untuk melihat (tanda-tanda kekuasaan Allah) dan mereka mempunyai telinga (tetapi) tidak digunakan untuk mendengar (ayat-ayat Allah). Mereka itu bagai binatang ternak, bahkan lebih sesat lagi. Mereka itulah orang-orang yang lalai.”</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lastRenderedPageBreak/>
        <w:t xml:space="preserve">Dalam Q.S az-Zumar ayat 9 disebutkan bahwa; </w:t>
      </w:r>
      <w:r w:rsidRPr="002B0EFC">
        <w:rPr>
          <w:rFonts w:ascii="Book Antiqua" w:hAnsi="Book Antiqua" w:cs="Times New Roman"/>
          <w:i/>
          <w:sz w:val="24"/>
          <w:szCs w:val="24"/>
        </w:rPr>
        <w:t>“Katakanlah, tidaklah sama, orang yang tau dengan orang yang tidak tau.”</w:t>
      </w:r>
      <w:r w:rsidRPr="002B0EFC">
        <w:rPr>
          <w:rFonts w:ascii="Book Antiqua" w:hAnsi="Book Antiqua" w:cs="Times New Roman"/>
          <w:sz w:val="24"/>
          <w:szCs w:val="24"/>
        </w:rPr>
        <w:t xml:space="preserve"> Manusia yang tersesat oleh Tuhan diibaratkan seperti orang-orang yang tidak tau apa-apa, ketidaktauannya karena manusia tidak mampu dan tidak mau menggunakan anugerah Tuhan yang berupa indera, akal dan hati nurani untuk mengembangkan epistemologipengetahuan. Artinya dalam hal ini adalah, bahwa orang yang bodoh adalah orang yang tidak mau menggunakan indera, akal dan hati nurani dengan baik dan bijak sesuai dengan petunjuk Tuhan, karena Tuhan telah memberikan indera, akal dan hati nurani kepada manusia sesuai dengan kedudukannya derajat tertinggi diantara mahluk yang lain</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ab/>
        <w:t>Kebenaran hakiki Tuhan seperti kebenaran tunggal yang disampaikan oleh Annemarie Schimmel dalam Aldian Husaini.</w:t>
      </w:r>
      <w:r w:rsidRPr="002B0EFC">
        <w:rPr>
          <w:rStyle w:val="FootnoteReference"/>
          <w:rFonts w:ascii="Book Antiqua" w:hAnsi="Book Antiqua" w:cs="Times New Roman"/>
          <w:sz w:val="24"/>
          <w:szCs w:val="24"/>
        </w:rPr>
        <w:footnoteReference w:id="431"/>
      </w:r>
      <w:r w:rsidRPr="002B0EFC">
        <w:rPr>
          <w:rFonts w:ascii="Book Antiqua" w:hAnsi="Book Antiqua" w:cs="Times New Roman"/>
          <w:sz w:val="24"/>
          <w:szCs w:val="24"/>
        </w:rPr>
        <w:t xml:space="preserve"> Kebenaran tunggal adalah kebenaran yang diperoleh manusia melalui tanda atau ayat dengan keberagamanya bentuk sistem tanda yang harus dipahami oleh indera, akal dan hati nurani. Sistem tanda tersebut yang mampu membimbing manusia menuju jalan kepada sang pencipta. Kebenaran tunggal sebagai bentuk dari pemahaman akan Tuhan yang menunjukkan sikap taukhid dari manusia yang beradab. Hanya Tuhan yang mempunyai kebenaran mutlak dan hanya manusia yang beradab disebut sebagai mahluk yang sempurna dengan nalarnya yang mampu mencapai kebenaran hakiki Tuhan tersebut. Hal ini sebagaimana disebutkan dalam Q.S al-An’am ayat 59; </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i/>
          <w:sz w:val="24"/>
          <w:szCs w:val="24"/>
        </w:rPr>
        <w:t>“Dan pada sisi Allah-lah kunci-kunci semua yang gaib; tak ada yang mengetahuinya kecuali Dia sendiri, dan Dia mengetahui apa yang di darat dan di lautan, dan tiada sehelai daun pun gugur melainkan Dia mengetahui (pula), dan tidak jatuh sebutir biji pun dalam kegelapan bumi dan tidak sesuatu yang basah atau yang kering, melainkan tertulis dalam kitab yang nyata (Lauh Mahfuz).”</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sz w:val="24"/>
          <w:szCs w:val="24"/>
        </w:rPr>
        <w:t xml:space="preserve">Kebenaran hakiki berdasarkan ayat tersebut merupakan puncak atas segala pengetahuan Tuhan yang tidak dapat dibandingkan dengan yang lain. Terhadap segala yang ada adalah atas sepengetahuan Tuhan, sehingga kebenarannya merupakan suatu keniscayaan. Oleh karena itu, menjadi keharusan bagi manusia untuk mengikutinya sebagai jalan lurus yang paling benar. </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lastRenderedPageBreak/>
        <w:t>Tuhan melalui kitab suci al-Quran telah memerintahkan kepada manusia untuk menggunakan indera, akal dan hati nurani dengan baik untuk menggali dan memperoleh ilmu pengetahuan. Hal ini merupakan bentuk dari konsepkonvergensi epistemologi berkeadaban dalam ilmu pengetahuan untuk mencapai satu titik temu nalar kebenaran tingkat tertinggidari Tuhan. Pernyataan ini seperti disebutkan dalam Q.S Al-An’am ayat 125-126;</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“Barang siapa dikehendaki Allah akan mendapat hidayah (petunjuk), Dia akan membukakan dadanya untuk (menerima) Islam. Dan barang siapa dikehendaki-Nya menjadi sesat, Dia jadikan dadanya sempit dan sesak, seakan-akan dia (sedang) mendaki ke langit. Demikianlah Allah menimpakan siksa kepada orang-orang yang tidak beriman.”</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inilah jalan Tuhanmu yang lurus. Kami telah menjelaskan ayat-ayat (kami) kepada orang-orang yang menerima peringatan.”</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Konsep konvergensi epistemologi berkeadaban dalam ilmu hukum merupakan cara pandang dan pemahaman yang melibatkan seluruh sarana penalaran epistemologi ilmu hukum yang ada. Sikap saling memahami dan bersedia untuk memberi dan menerima kelebihan dan kelemahan dalam rangka memperbaiki diri menjadi proses yang harus dilakukan. Kemampuan masing-masing sarana penalaran untuk mengembangkan epistemologi ilmu pengetahuan manusia memiliki keterbatasan yang sering menimbulkan permasalahan, sehingga di dalam al-Quran telah dijelaskan bagaimana pentingnya menggunakan konvergensiepistemologi berkeadaban untuk mendukung sarana penalaran dalam mengembangkan epistemologi ilmu pengetahuan yang lain agar mampu memperoleh satu titik temu kebenaran tertinggi yang utuh, komprehensif dan bijak. Dengan demikian, maka kebenaran ilmu hukum yang dihasilkan merupakan bentuk pencapaian keberadaban tertinggi manusia dari seluruh sarana penalaran untuk mengembangkan epistemologi ilmu hukum yang berjalan dibawah petunjuk Tuhan.</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Berkeadaban adalah sesuatu ha</w:t>
      </w:r>
      <w:r w:rsidRPr="002B0EFC">
        <w:rPr>
          <w:rFonts w:ascii="Book Antiqua" w:eastAsia="Calibri" w:hAnsi="Book Antiqua" w:cs="Times New Roman"/>
          <w:sz w:val="24"/>
          <w:szCs w:val="24"/>
        </w:rPr>
        <w:t>l</w:t>
      </w:r>
      <w:r w:rsidRPr="002B0EFC">
        <w:rPr>
          <w:rFonts w:ascii="Book Antiqua" w:eastAsia="Calibri" w:hAnsi="Book Antiqua" w:cs="Times New Roman"/>
          <w:sz w:val="24"/>
          <w:szCs w:val="24"/>
          <w:lang w:val="en-US"/>
        </w:rPr>
        <w:t xml:space="preserve"> yang wajib bagi umat manusia, karena itu menunjukkan derajat kesempurnaannya sebagai mahluk Tuhan.</w:t>
      </w:r>
      <w:r w:rsidRPr="002B0EFC">
        <w:rPr>
          <w:rFonts w:ascii="Book Antiqua" w:hAnsi="Book Antiqua" w:cs="Arial"/>
          <w:sz w:val="24"/>
          <w:szCs w:val="24"/>
          <w:vertAlign w:val="superscript"/>
        </w:rPr>
        <w:footnoteReference w:id="432"/>
      </w:r>
      <w:r w:rsidRPr="002B0EFC">
        <w:rPr>
          <w:rFonts w:ascii="Book Antiqua" w:eastAsia="Calibri" w:hAnsi="Book Antiqua" w:cs="Times New Roman"/>
          <w:sz w:val="24"/>
          <w:szCs w:val="24"/>
          <w:lang w:val="en-US"/>
        </w:rPr>
        <w:t>Manusia yang sem</w:t>
      </w:r>
      <w:r w:rsidRPr="002B0EFC">
        <w:rPr>
          <w:rFonts w:ascii="Book Antiqua" w:eastAsia="Calibri" w:hAnsi="Book Antiqua" w:cs="Times New Roman"/>
          <w:sz w:val="24"/>
          <w:szCs w:val="24"/>
        </w:rPr>
        <w:t>p</w:t>
      </w:r>
      <w:r w:rsidRPr="002B0EFC">
        <w:rPr>
          <w:rFonts w:ascii="Book Antiqua" w:eastAsia="Calibri" w:hAnsi="Book Antiqua" w:cs="Times New Roman"/>
          <w:sz w:val="24"/>
          <w:szCs w:val="24"/>
          <w:lang w:val="en-US"/>
        </w:rPr>
        <w:t xml:space="preserve">urna tidak hanya memiliki ilmu pengetahuan saja, tetapi juga harus memiliki iman kepada Tuhan, sehingga kontruksi keduanya dapat menghasilkan sebuah </w:t>
      </w:r>
      <w:r w:rsidRPr="002B0EFC">
        <w:rPr>
          <w:rFonts w:ascii="Book Antiqua" w:eastAsia="Calibri" w:hAnsi="Book Antiqua" w:cs="Times New Roman"/>
          <w:sz w:val="24"/>
          <w:szCs w:val="24"/>
          <w:lang w:val="en-US"/>
        </w:rPr>
        <w:lastRenderedPageBreak/>
        <w:t xml:space="preserve">keberadaban, yaitu tingkat kecerdasan tertinggi dari manusia itu sendiri.Oleh karena itu, dalam agama Islam antara </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lmu dan adab tidak dapat dipisahkan untuk mencapai derajat kesempurnaan manusia.</w:t>
      </w:r>
      <w:r w:rsidRPr="002B0EFC">
        <w:rPr>
          <w:rStyle w:val="FootnoteReference"/>
          <w:rFonts w:ascii="Book Antiqua" w:hAnsi="Book Antiqua" w:cs="Arial"/>
          <w:sz w:val="24"/>
          <w:szCs w:val="24"/>
        </w:rPr>
        <w:footnoteReference w:id="433"/>
      </w:r>
      <w:r w:rsidRPr="002B0EFC">
        <w:rPr>
          <w:rFonts w:ascii="Book Antiqua" w:eastAsia="Calibri" w:hAnsi="Book Antiqua" w:cs="Times New Roman"/>
          <w:sz w:val="24"/>
          <w:szCs w:val="24"/>
          <w:lang w:val="en-US"/>
        </w:rPr>
        <w:t xml:space="preserve">Berilmu tanpa disertai adab akan dimurkai </w:t>
      </w:r>
      <w:r w:rsidRPr="002B0EFC">
        <w:rPr>
          <w:rFonts w:ascii="Book Antiqua" w:eastAsia="Calibri" w:hAnsi="Book Antiqua" w:cs="Times New Roman"/>
          <w:sz w:val="24"/>
          <w:szCs w:val="24"/>
        </w:rPr>
        <w:t>o</w:t>
      </w:r>
      <w:r w:rsidRPr="002B0EFC">
        <w:rPr>
          <w:rFonts w:ascii="Book Antiqua" w:eastAsia="Calibri" w:hAnsi="Book Antiqua" w:cs="Times New Roman"/>
          <w:sz w:val="24"/>
          <w:szCs w:val="24"/>
          <w:lang w:val="en-US"/>
        </w:rPr>
        <w:t>leh Tuhan dan beradab tan</w:t>
      </w:r>
      <w:r w:rsidRPr="002B0EFC">
        <w:rPr>
          <w:rFonts w:ascii="Book Antiqua" w:eastAsia="Calibri" w:hAnsi="Book Antiqua" w:cs="Times New Roman"/>
          <w:sz w:val="24"/>
          <w:szCs w:val="24"/>
        </w:rPr>
        <w:t>p</w:t>
      </w:r>
      <w:r w:rsidRPr="002B0EFC">
        <w:rPr>
          <w:rFonts w:ascii="Book Antiqua" w:eastAsia="Calibri" w:hAnsi="Book Antiqua" w:cs="Times New Roman"/>
          <w:sz w:val="24"/>
          <w:szCs w:val="24"/>
          <w:lang w:val="en-US"/>
        </w:rPr>
        <w:t>a ilmu dapat menimbulkan kesesatan. Hal ini seperti telah dijelaskan di atas, bahwa manusia mendapat derajat tertinggi karena iman dan ilmunya yang diridhai Tuhan. Manusia dalam mencapai kebenaran hakiki akan selalu berdoa kepada Tuhan untuk diberikan ilmu, seperti disebutkan d</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xml:space="preserve">lam Q.S Thaahaa ayat 114; </w:t>
      </w:r>
      <w:r w:rsidRPr="002B0EFC">
        <w:rPr>
          <w:rFonts w:ascii="Book Antiqua" w:eastAsia="Calibri" w:hAnsi="Book Antiqua" w:cs="Times New Roman"/>
          <w:i/>
          <w:sz w:val="24"/>
          <w:szCs w:val="24"/>
          <w:lang w:val="en-US"/>
        </w:rPr>
        <w:t>“Dankatakanlah, wahai Rabku tambahkanlah ilmu kepadaku.”</w:t>
      </w:r>
      <w:r w:rsidRPr="002B0EFC">
        <w:rPr>
          <w:rFonts w:ascii="Book Antiqua" w:eastAsia="Calibri" w:hAnsi="Book Antiqua" w:cs="Times New Roman"/>
          <w:sz w:val="24"/>
          <w:szCs w:val="24"/>
          <w:lang w:val="en-US"/>
        </w:rPr>
        <w:t xml:space="preserve"> Ilmu yang bersumber dari Tuhan adalah ilmu yang sudah pasti dijamin kebenarannya, sehingga manusia diwajibkan untuk selalu menuntut ilmu sebagai bentuk dari ibadah kepada Tuhan, bukan karena tujuan ya</w:t>
      </w:r>
      <w:r w:rsidRPr="002B0EFC">
        <w:rPr>
          <w:rFonts w:ascii="Book Antiqua" w:eastAsia="Calibri" w:hAnsi="Book Antiqua" w:cs="Times New Roman"/>
          <w:sz w:val="24"/>
          <w:szCs w:val="24"/>
        </w:rPr>
        <w:t>n</w:t>
      </w:r>
      <w:r w:rsidRPr="002B0EFC">
        <w:rPr>
          <w:rFonts w:ascii="Book Antiqua" w:eastAsia="Calibri" w:hAnsi="Book Antiqua" w:cs="Times New Roman"/>
          <w:sz w:val="24"/>
          <w:szCs w:val="24"/>
          <w:lang w:val="en-US"/>
        </w:rPr>
        <w:t>g lain. Manusia untuk mendapat limpahan ilmu pengetahuan dari Tuhan yang bersifat hakiki harus didukung oleh kemampuan untuk memprosesnya, sehingga hal itu sangat tergantung dari bagaimana manusia dapat menggunkaan</w:t>
      </w:r>
      <w:r w:rsidRPr="002B0EFC">
        <w:rPr>
          <w:rFonts w:ascii="Book Antiqua" w:eastAsia="Calibri" w:hAnsi="Book Antiqua" w:cs="Times New Roman"/>
          <w:sz w:val="24"/>
          <w:szCs w:val="24"/>
        </w:rPr>
        <w:t xml:space="preserve"> sarana penalaran </w:t>
      </w:r>
      <w:r w:rsidRPr="002B0EFC">
        <w:rPr>
          <w:rFonts w:ascii="Book Antiqua" w:eastAsia="Calibri" w:hAnsi="Book Antiqua" w:cs="Times New Roman"/>
          <w:sz w:val="24"/>
          <w:szCs w:val="24"/>
          <w:lang w:val="en-US"/>
        </w:rPr>
        <w:t>indera, akal dan hati nurani</w:t>
      </w:r>
      <w:r w:rsidRPr="002B0EFC">
        <w:rPr>
          <w:rFonts w:ascii="Book Antiqua" w:eastAsia="Calibri" w:hAnsi="Book Antiqua" w:cs="Times New Roman"/>
          <w:sz w:val="24"/>
          <w:szCs w:val="24"/>
        </w:rPr>
        <w:t xml:space="preserve">untuk mengembangkan epistemologi </w:t>
      </w:r>
      <w:r w:rsidRPr="002B0EFC">
        <w:rPr>
          <w:rFonts w:ascii="Book Antiqua" w:eastAsia="Calibri" w:hAnsi="Book Antiqua" w:cs="Times New Roman"/>
          <w:sz w:val="24"/>
          <w:szCs w:val="24"/>
          <w:lang w:val="en-US"/>
        </w:rPr>
        <w:t>dalam menggali dan memperoleh ilmu pengetauan.Tuhan</w:t>
      </w:r>
      <w:r w:rsidRPr="002B0EFC">
        <w:rPr>
          <w:rFonts w:ascii="Book Antiqua" w:eastAsia="Calibri" w:hAnsi="Book Antiqua" w:cs="Times New Roman"/>
          <w:sz w:val="24"/>
          <w:szCs w:val="24"/>
        </w:rPr>
        <w:t xml:space="preserve"> telah </w:t>
      </w:r>
      <w:r w:rsidRPr="002B0EFC">
        <w:rPr>
          <w:rFonts w:ascii="Book Antiqua" w:eastAsia="Calibri" w:hAnsi="Book Antiqua" w:cs="Times New Roman"/>
          <w:sz w:val="24"/>
          <w:szCs w:val="24"/>
          <w:lang w:val="en-US"/>
        </w:rPr>
        <w:t>memberi banyak petunjuk kepada manusia untuk mengg</w:t>
      </w:r>
      <w:r w:rsidRPr="002B0EFC">
        <w:rPr>
          <w:rFonts w:ascii="Book Antiqua" w:eastAsia="Calibri" w:hAnsi="Book Antiqua" w:cs="Times New Roman"/>
          <w:sz w:val="24"/>
          <w:szCs w:val="24"/>
        </w:rPr>
        <w:t>u</w:t>
      </w:r>
      <w:r w:rsidRPr="002B0EFC">
        <w:rPr>
          <w:rFonts w:ascii="Book Antiqua" w:eastAsia="Calibri" w:hAnsi="Book Antiqua" w:cs="Times New Roman"/>
          <w:sz w:val="24"/>
          <w:szCs w:val="24"/>
          <w:lang w:val="en-US"/>
        </w:rPr>
        <w:t>nakan indera, akal dan hati nuranisesuai dengan formasi dan struktur epistemolog</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 xml:space="preserve"> ilmu pengetahuan.</w:t>
      </w:r>
      <w:r w:rsidR="00163DFA">
        <w:rPr>
          <w:rFonts w:ascii="Book Antiqua" w:eastAsia="Calibri" w:hAnsi="Book Antiqua" w:cs="Times New Roman"/>
          <w:sz w:val="24"/>
          <w:szCs w:val="24"/>
        </w:rPr>
        <w:t xml:space="preserve"> </w:t>
      </w:r>
      <w:r w:rsidRPr="002B0EFC">
        <w:rPr>
          <w:rFonts w:ascii="Book Antiqua" w:eastAsia="Calibri" w:hAnsi="Book Antiqua" w:cs="Times New Roman"/>
          <w:sz w:val="24"/>
          <w:szCs w:val="24"/>
          <w:lang w:val="en-US"/>
        </w:rPr>
        <w:t>Manu</w:t>
      </w:r>
      <w:r w:rsidR="00163DFA">
        <w:rPr>
          <w:rFonts w:ascii="Book Antiqua" w:eastAsia="Calibri" w:hAnsi="Book Antiqua" w:cs="Times New Roman"/>
          <w:sz w:val="24"/>
          <w:szCs w:val="24"/>
          <w:lang w:val="en-US"/>
        </w:rPr>
        <w:t>sia harus mampu mengkonvergensi</w:t>
      </w:r>
      <w:r w:rsidR="00163DFA">
        <w:rPr>
          <w:rFonts w:ascii="Book Antiqua" w:eastAsia="Calibri" w:hAnsi="Book Antiqua" w:cs="Times New Roman"/>
          <w:sz w:val="24"/>
          <w:szCs w:val="24"/>
        </w:rPr>
        <w:t xml:space="preserve"> e</w:t>
      </w:r>
      <w:r w:rsidRPr="002B0EFC">
        <w:rPr>
          <w:rFonts w:ascii="Book Antiqua" w:eastAsia="Calibri" w:hAnsi="Book Antiqua" w:cs="Times New Roman"/>
          <w:sz w:val="24"/>
          <w:szCs w:val="24"/>
          <w:lang w:val="en-US"/>
        </w:rPr>
        <w:t>pistemolog</w:t>
      </w:r>
      <w:r w:rsidRPr="002B0EFC">
        <w:rPr>
          <w:rFonts w:ascii="Book Antiqua" w:eastAsia="Calibri" w:hAnsi="Book Antiqua" w:cs="Times New Roman"/>
          <w:sz w:val="24"/>
          <w:szCs w:val="24"/>
        </w:rPr>
        <w:t xml:space="preserve">i </w:t>
      </w:r>
      <w:r w:rsidRPr="002B0EFC">
        <w:rPr>
          <w:rFonts w:ascii="Book Antiqua" w:eastAsia="Calibri" w:hAnsi="Book Antiqua" w:cs="Times New Roman"/>
          <w:sz w:val="24"/>
          <w:szCs w:val="24"/>
          <w:lang w:val="en-US"/>
        </w:rPr>
        <w:t>hingga pada tahap berkeadaban dalam membentuk satu kesatuan s</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stem epistemolog</w:t>
      </w:r>
      <w:r w:rsidRPr="002B0EFC">
        <w:rPr>
          <w:rFonts w:ascii="Book Antiqua" w:eastAsia="Calibri" w:hAnsi="Book Antiqua" w:cs="Times New Roman"/>
          <w:sz w:val="24"/>
          <w:szCs w:val="24"/>
        </w:rPr>
        <w:t>i</w:t>
      </w:r>
      <w:r w:rsidRPr="002B0EFC">
        <w:rPr>
          <w:rFonts w:ascii="Book Antiqua" w:eastAsia="Calibri" w:hAnsi="Book Antiqua" w:cs="Times New Roman"/>
          <w:sz w:val="24"/>
          <w:szCs w:val="24"/>
          <w:lang w:val="en-US"/>
        </w:rPr>
        <w:t xml:space="preserve"> yang utuh, komprehensif dan bijakmencapai kebenaran hakiki Tuhan.</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Kebenaran hakikiadalah kebenaran mutlak yang bersumber langsung dari Tuhan yang telah dijamin tidak ada kesalahan dan keraguan sedikitpun terhadapnya. Manusia, hanya dengan kesempurnaan nalar inder</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akal dan hati nurani akan dapat mencapai kebenaran hakiki Tuhan, sebagaimana disebutkan d</w:t>
      </w:r>
      <w:r w:rsidRPr="002B0EFC">
        <w:rPr>
          <w:rFonts w:ascii="Book Antiqua" w:eastAsia="Calibri" w:hAnsi="Book Antiqua" w:cs="Times New Roman"/>
          <w:sz w:val="24"/>
          <w:szCs w:val="24"/>
        </w:rPr>
        <w:t>a</w:t>
      </w:r>
      <w:r w:rsidRPr="002B0EFC">
        <w:rPr>
          <w:rFonts w:ascii="Book Antiqua" w:eastAsia="Calibri" w:hAnsi="Book Antiqua" w:cs="Times New Roman"/>
          <w:sz w:val="24"/>
          <w:szCs w:val="24"/>
          <w:lang w:val="en-US"/>
        </w:rPr>
        <w:t xml:space="preserve">lam </w:t>
      </w:r>
      <w:r w:rsidRPr="002B0EFC">
        <w:rPr>
          <w:rFonts w:ascii="Book Antiqua" w:eastAsia="Calibri" w:hAnsi="Book Antiqua" w:cs="Times New Roman"/>
          <w:sz w:val="24"/>
          <w:szCs w:val="24"/>
        </w:rPr>
        <w:t xml:space="preserve">Q.S al-Fatihah ayat 6-7; </w:t>
      </w:r>
      <w:r w:rsidRPr="002B0EFC">
        <w:rPr>
          <w:rFonts w:ascii="Book Antiqua" w:eastAsia="Calibri" w:hAnsi="Book Antiqua" w:cs="Times New Roman"/>
          <w:i/>
          <w:sz w:val="24"/>
          <w:szCs w:val="24"/>
        </w:rPr>
        <w:t>“Tunjukkan kami jalan yang lurus, yaitu jalan orang-orang yang telah Engkau beri nikmat, bukan jalan orang yang dimurkai, dan bukan pula jalan orang yang sesat.”</w:t>
      </w:r>
      <w:r w:rsidRPr="002B0EFC">
        <w:rPr>
          <w:rFonts w:ascii="Book Antiqua" w:eastAsia="Calibri" w:hAnsi="Book Antiqua" w:cs="Times New Roman"/>
          <w:sz w:val="24"/>
          <w:szCs w:val="24"/>
          <w:lang w:val="en-US"/>
        </w:rPr>
        <w:t>Q.Sal-An’am ayat 153;</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lang w:val="en-US"/>
        </w:rPr>
        <w:lastRenderedPageBreak/>
        <w:t>“Dan sesungguhnya, inilah jalan-Ku yang lurus. Maka ikutlah! Jangan kamu ikuti jalan-jalan (yang lain) yang akan mencerai-beraikan kamu dari jalan-Nya.Demikianlah Dia memerintahkan kepadamu agar kamu bertaqwa.”</w:t>
      </w:r>
    </w:p>
    <w:p w:rsidR="00346169" w:rsidRPr="002B0EFC" w:rsidRDefault="00163DFA" w:rsidP="002B0EFC">
      <w:pPr>
        <w:spacing w:after="0" w:line="360" w:lineRule="auto"/>
        <w:jc w:val="both"/>
        <w:rPr>
          <w:rFonts w:ascii="Book Antiqua" w:eastAsia="Calibri" w:hAnsi="Book Antiqua" w:cs="Times New Roman"/>
          <w:sz w:val="24"/>
          <w:szCs w:val="24"/>
        </w:rPr>
      </w:pPr>
      <w:r>
        <w:rPr>
          <w:rFonts w:ascii="Book Antiqua" w:eastAsia="Calibri" w:hAnsi="Book Antiqua" w:cs="Times New Roman"/>
          <w:sz w:val="24"/>
          <w:szCs w:val="24"/>
        </w:rPr>
        <w:t xml:space="preserve">          </w:t>
      </w:r>
      <w:r w:rsidR="00346169" w:rsidRPr="002B0EFC">
        <w:rPr>
          <w:rFonts w:ascii="Book Antiqua" w:eastAsia="Calibri" w:hAnsi="Book Antiqua" w:cs="Times New Roman"/>
          <w:sz w:val="24"/>
          <w:szCs w:val="24"/>
          <w:lang w:val="en-US"/>
        </w:rPr>
        <w:t>Kebenaran hakiki Tuhan pada hakekatnya merupakan segala tujuan dalam kehidupan manusi</w:t>
      </w:r>
      <w:r w:rsidR="00346169" w:rsidRPr="002B0EFC">
        <w:rPr>
          <w:rFonts w:ascii="Book Antiqua" w:eastAsia="Calibri" w:hAnsi="Book Antiqua" w:cs="Times New Roman"/>
          <w:sz w:val="24"/>
          <w:szCs w:val="24"/>
        </w:rPr>
        <w:t>a</w:t>
      </w:r>
      <w:r w:rsidR="00346169" w:rsidRPr="002B0EFC">
        <w:rPr>
          <w:rFonts w:ascii="Book Antiqua" w:eastAsia="Calibri" w:hAnsi="Book Antiqua" w:cs="Times New Roman"/>
          <w:sz w:val="24"/>
          <w:szCs w:val="24"/>
          <w:lang w:val="en-US"/>
        </w:rPr>
        <w:t>, sehingga hal itu harus diperjuangkan dengan keras da</w:t>
      </w:r>
      <w:r w:rsidR="00346169" w:rsidRPr="002B0EFC">
        <w:rPr>
          <w:rFonts w:ascii="Book Antiqua" w:eastAsia="Calibri" w:hAnsi="Book Antiqua" w:cs="Times New Roman"/>
          <w:sz w:val="24"/>
          <w:szCs w:val="24"/>
        </w:rPr>
        <w:t>n</w:t>
      </w:r>
      <w:r w:rsidR="00346169" w:rsidRPr="002B0EFC">
        <w:rPr>
          <w:rFonts w:ascii="Book Antiqua" w:eastAsia="Calibri" w:hAnsi="Book Antiqua" w:cs="Times New Roman"/>
          <w:sz w:val="24"/>
          <w:szCs w:val="24"/>
          <w:lang w:val="en-US"/>
        </w:rPr>
        <w:t xml:space="preserve"> sunguh-sungguh melalui </w:t>
      </w:r>
      <w:r w:rsidR="00346169" w:rsidRPr="002B0EFC">
        <w:rPr>
          <w:rFonts w:ascii="Book Antiqua" w:eastAsia="Calibri" w:hAnsi="Book Antiqua" w:cs="Times New Roman"/>
          <w:sz w:val="24"/>
          <w:szCs w:val="24"/>
        </w:rPr>
        <w:t xml:space="preserve">sarana penalaran </w:t>
      </w:r>
      <w:r w:rsidR="00346169" w:rsidRPr="002B0EFC">
        <w:rPr>
          <w:rFonts w:ascii="Book Antiqua" w:eastAsia="Calibri" w:hAnsi="Book Antiqua" w:cs="Times New Roman"/>
          <w:sz w:val="24"/>
          <w:szCs w:val="24"/>
          <w:lang w:val="en-US"/>
        </w:rPr>
        <w:t xml:space="preserve">tersebut. Manusia memiliki kewajiban untuk berusaha semaksimal mungkin dengan </w:t>
      </w:r>
      <w:r w:rsidR="00346169" w:rsidRPr="002B0EFC">
        <w:rPr>
          <w:rFonts w:ascii="Book Antiqua" w:eastAsia="Calibri" w:hAnsi="Book Antiqua" w:cs="Times New Roman"/>
          <w:sz w:val="24"/>
          <w:szCs w:val="24"/>
        </w:rPr>
        <w:t xml:space="preserve">sarana penalaran </w:t>
      </w:r>
      <w:r w:rsidR="00346169" w:rsidRPr="002B0EFC">
        <w:rPr>
          <w:rFonts w:ascii="Book Antiqua" w:eastAsia="Calibri" w:hAnsi="Book Antiqua" w:cs="Times New Roman"/>
          <w:sz w:val="24"/>
          <w:szCs w:val="24"/>
          <w:lang w:val="en-US"/>
        </w:rPr>
        <w:t>yang dimilikidanTuhan akan memberikan kebenaran hakiki yang merup</w:t>
      </w:r>
      <w:r w:rsidR="00346169" w:rsidRPr="002B0EFC">
        <w:rPr>
          <w:rFonts w:ascii="Book Antiqua" w:eastAsia="Calibri" w:hAnsi="Book Antiqua" w:cs="Times New Roman"/>
          <w:sz w:val="24"/>
          <w:szCs w:val="24"/>
        </w:rPr>
        <w:t>a</w:t>
      </w:r>
      <w:r w:rsidR="00346169" w:rsidRPr="002B0EFC">
        <w:rPr>
          <w:rFonts w:ascii="Book Antiqua" w:eastAsia="Calibri" w:hAnsi="Book Antiqua" w:cs="Times New Roman"/>
          <w:sz w:val="24"/>
          <w:szCs w:val="24"/>
          <w:lang w:val="en-US"/>
        </w:rPr>
        <w:t>kan puncak tertinggi dari segala perhitungan tentang kebenaran. Kebenaran hakiki yang bersifat mutlak dari Tuhan diperuntukkan bagi manusia yang memiliki iman dan ilmu. Kebenaran hakiki hanya dimiliki oleh Tuhan dan bukan yang lain, seperti terdapat dalam Q.S al-An’am ayat 128;</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lang w:val="en-US"/>
        </w:rPr>
        <w:t xml:space="preserve">“Dan </w:t>
      </w:r>
      <w:r w:rsidRPr="002B0EFC">
        <w:rPr>
          <w:rFonts w:ascii="Book Antiqua" w:eastAsia="Calibri" w:hAnsi="Book Antiqua" w:cs="Times New Roman"/>
          <w:i/>
          <w:sz w:val="24"/>
          <w:szCs w:val="24"/>
        </w:rPr>
        <w:t>(</w:t>
      </w:r>
      <w:r w:rsidRPr="002B0EFC">
        <w:rPr>
          <w:rFonts w:ascii="Book Antiqua" w:eastAsia="Calibri" w:hAnsi="Book Antiqua" w:cs="Times New Roman"/>
          <w:i/>
          <w:sz w:val="24"/>
          <w:szCs w:val="24"/>
          <w:lang w:val="en-US"/>
        </w:rPr>
        <w:t>ingatlah</w:t>
      </w:r>
      <w:r w:rsidRPr="002B0EFC">
        <w:rPr>
          <w:rFonts w:ascii="Book Antiqua" w:eastAsia="Calibri" w:hAnsi="Book Antiqua" w:cs="Times New Roman"/>
          <w:i/>
          <w:sz w:val="24"/>
          <w:szCs w:val="24"/>
        </w:rPr>
        <w:t>)</w:t>
      </w:r>
      <w:r w:rsidRPr="002B0EFC">
        <w:rPr>
          <w:rFonts w:ascii="Book Antiqua" w:eastAsia="Calibri" w:hAnsi="Book Antiqua" w:cs="Times New Roman"/>
          <w:i/>
          <w:sz w:val="24"/>
          <w:szCs w:val="24"/>
          <w:lang w:val="en-US"/>
        </w:rPr>
        <w:t xml:space="preserve"> pada hari ketika Dia mengumpulkan mer</w:t>
      </w:r>
      <w:r w:rsidRPr="002B0EFC">
        <w:rPr>
          <w:rFonts w:ascii="Book Antiqua" w:eastAsia="Calibri" w:hAnsi="Book Antiqua" w:cs="Times New Roman"/>
          <w:i/>
          <w:sz w:val="24"/>
          <w:szCs w:val="24"/>
        </w:rPr>
        <w:t>e</w:t>
      </w:r>
      <w:r w:rsidRPr="002B0EFC">
        <w:rPr>
          <w:rFonts w:ascii="Book Antiqua" w:eastAsia="Calibri" w:hAnsi="Book Antiqua" w:cs="Times New Roman"/>
          <w:i/>
          <w:sz w:val="24"/>
          <w:szCs w:val="24"/>
          <w:lang w:val="en-US"/>
        </w:rPr>
        <w:t>k</w:t>
      </w:r>
      <w:r w:rsidRPr="002B0EFC">
        <w:rPr>
          <w:rFonts w:ascii="Book Antiqua" w:eastAsia="Calibri" w:hAnsi="Book Antiqua" w:cs="Times New Roman"/>
          <w:i/>
          <w:sz w:val="24"/>
          <w:szCs w:val="24"/>
        </w:rPr>
        <w:t xml:space="preserve">a </w:t>
      </w:r>
      <w:r w:rsidRPr="002B0EFC">
        <w:rPr>
          <w:rFonts w:ascii="Book Antiqua" w:eastAsia="Calibri" w:hAnsi="Book Antiqua" w:cs="Times New Roman"/>
          <w:i/>
          <w:sz w:val="24"/>
          <w:szCs w:val="24"/>
          <w:lang w:val="en-US"/>
        </w:rPr>
        <w:t>semua (dan Allah berfirman)</w:t>
      </w:r>
      <w:r w:rsidRPr="002B0EFC">
        <w:rPr>
          <w:rFonts w:ascii="Book Antiqua" w:eastAsia="Calibri" w:hAnsi="Book Antiqua" w:cs="Times New Roman"/>
          <w:i/>
          <w:sz w:val="24"/>
          <w:szCs w:val="24"/>
        </w:rPr>
        <w:t xml:space="preserve">, </w:t>
      </w:r>
      <w:r w:rsidRPr="002B0EFC">
        <w:rPr>
          <w:rFonts w:ascii="Book Antiqua" w:eastAsia="Calibri" w:hAnsi="Book Antiqua" w:cs="Times New Roman"/>
          <w:i/>
          <w:sz w:val="24"/>
          <w:szCs w:val="24"/>
          <w:lang w:val="en-US"/>
        </w:rPr>
        <w:t>“</w:t>
      </w:r>
      <w:r w:rsidRPr="002B0EFC">
        <w:rPr>
          <w:rFonts w:ascii="Book Antiqua" w:eastAsia="Calibri" w:hAnsi="Book Antiqua" w:cs="Times New Roman"/>
          <w:i/>
          <w:sz w:val="24"/>
          <w:szCs w:val="24"/>
        </w:rPr>
        <w:t>W</w:t>
      </w:r>
      <w:r w:rsidRPr="002B0EFC">
        <w:rPr>
          <w:rFonts w:ascii="Book Antiqua" w:eastAsia="Calibri" w:hAnsi="Book Antiqua" w:cs="Times New Roman"/>
          <w:i/>
          <w:sz w:val="24"/>
          <w:szCs w:val="24"/>
          <w:lang w:val="en-US"/>
        </w:rPr>
        <w:t>ahai golongan jin!Kamu telah banyak (menyesatkan) manusia.”Dan kawan-kawan mereka dari golongan manusia berkata, “</w:t>
      </w:r>
      <w:r w:rsidRPr="002B0EFC">
        <w:rPr>
          <w:rFonts w:ascii="Book Antiqua" w:eastAsia="Calibri" w:hAnsi="Book Antiqua" w:cs="Times New Roman"/>
          <w:i/>
          <w:sz w:val="24"/>
          <w:szCs w:val="24"/>
        </w:rPr>
        <w:t>Y</w:t>
      </w:r>
      <w:r w:rsidRPr="002B0EFC">
        <w:rPr>
          <w:rFonts w:ascii="Book Antiqua" w:eastAsia="Calibri" w:hAnsi="Book Antiqua" w:cs="Times New Roman"/>
          <w:i/>
          <w:sz w:val="24"/>
          <w:szCs w:val="24"/>
          <w:lang w:val="en-US"/>
        </w:rPr>
        <w:t>a Tuhan, kami telah sering mendapatkan kesenangan dan sekarang waktu yang telah engkau tent</w:t>
      </w:r>
      <w:r w:rsidRPr="002B0EFC">
        <w:rPr>
          <w:rFonts w:ascii="Book Antiqua" w:eastAsia="Calibri" w:hAnsi="Book Antiqua" w:cs="Times New Roman"/>
          <w:i/>
          <w:sz w:val="24"/>
          <w:szCs w:val="24"/>
        </w:rPr>
        <w:t>u</w:t>
      </w:r>
      <w:r w:rsidRPr="002B0EFC">
        <w:rPr>
          <w:rFonts w:ascii="Book Antiqua" w:eastAsia="Calibri" w:hAnsi="Book Antiqua" w:cs="Times New Roman"/>
          <w:i/>
          <w:sz w:val="24"/>
          <w:szCs w:val="24"/>
          <w:lang w:val="en-US"/>
        </w:rPr>
        <w:t>kan buat kamitelah dat</w:t>
      </w:r>
      <w:r w:rsidRPr="002B0EFC">
        <w:rPr>
          <w:rFonts w:ascii="Book Antiqua" w:eastAsia="Calibri" w:hAnsi="Book Antiqua" w:cs="Times New Roman"/>
          <w:i/>
          <w:sz w:val="24"/>
          <w:szCs w:val="24"/>
        </w:rPr>
        <w:t>a</w:t>
      </w:r>
      <w:r w:rsidRPr="002B0EFC">
        <w:rPr>
          <w:rFonts w:ascii="Book Antiqua" w:eastAsia="Calibri" w:hAnsi="Book Antiqua" w:cs="Times New Roman"/>
          <w:i/>
          <w:sz w:val="24"/>
          <w:szCs w:val="24"/>
          <w:lang w:val="en-US"/>
        </w:rPr>
        <w:t>ng.” Allah berfirman, “</w:t>
      </w:r>
      <w:r w:rsidRPr="002B0EFC">
        <w:rPr>
          <w:rFonts w:ascii="Book Antiqua" w:eastAsia="Calibri" w:hAnsi="Book Antiqua" w:cs="Times New Roman"/>
          <w:i/>
          <w:sz w:val="24"/>
          <w:szCs w:val="24"/>
        </w:rPr>
        <w:t>N</w:t>
      </w:r>
      <w:r w:rsidRPr="002B0EFC">
        <w:rPr>
          <w:rFonts w:ascii="Book Antiqua" w:eastAsia="Calibri" w:hAnsi="Book Antiqua" w:cs="Times New Roman"/>
          <w:i/>
          <w:sz w:val="24"/>
          <w:szCs w:val="24"/>
          <w:lang w:val="en-US"/>
        </w:rPr>
        <w:t>erakalah tempat kamu selama-lamanya, kecuali jika Allah menyatakan lain.”</w:t>
      </w:r>
      <w:r w:rsidRPr="002B0EFC">
        <w:rPr>
          <w:rFonts w:ascii="Book Antiqua" w:eastAsia="Calibri" w:hAnsi="Book Antiqua" w:cs="Times New Roman"/>
          <w:i/>
          <w:sz w:val="24"/>
          <w:szCs w:val="24"/>
        </w:rPr>
        <w:t>Sungguh Tuhanmu maha bijaksana dan maha mengetahui.”</w:t>
      </w:r>
    </w:p>
    <w:p w:rsidR="00346169" w:rsidRPr="002B0EFC" w:rsidRDefault="00346169" w:rsidP="002B0EFC">
      <w:pPr>
        <w:spacing w:after="0" w:line="360" w:lineRule="auto"/>
        <w:jc w:val="both"/>
        <w:rPr>
          <w:rFonts w:ascii="Book Antiqua" w:eastAsia="Calibri" w:hAnsi="Book Antiqua" w:cs="Times New Roman"/>
          <w:sz w:val="24"/>
          <w:szCs w:val="24"/>
        </w:rPr>
      </w:pPr>
    </w:p>
    <w:p w:rsidR="00346169" w:rsidRPr="002B0EFC" w:rsidRDefault="00346169" w:rsidP="002B0EFC">
      <w:pPr>
        <w:spacing w:after="0" w:line="360" w:lineRule="auto"/>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 xml:space="preserve">Dalam ayat tersebut tersirat </w:t>
      </w:r>
      <w:r w:rsidRPr="002B0EFC">
        <w:rPr>
          <w:rFonts w:ascii="Book Antiqua" w:eastAsia="Calibri" w:hAnsi="Book Antiqua" w:cs="Times New Roman"/>
          <w:sz w:val="24"/>
          <w:szCs w:val="24"/>
        </w:rPr>
        <w:t xml:space="preserve">penjelasan </w:t>
      </w:r>
      <w:r w:rsidRPr="002B0EFC">
        <w:rPr>
          <w:rFonts w:ascii="Book Antiqua" w:eastAsia="Calibri" w:hAnsi="Book Antiqua" w:cs="Times New Roman"/>
          <w:sz w:val="24"/>
          <w:szCs w:val="24"/>
          <w:lang w:val="en-US"/>
        </w:rPr>
        <w:t>tentang kebenaranhakiki</w:t>
      </w:r>
      <w:r w:rsidRPr="002B0EFC">
        <w:rPr>
          <w:rFonts w:ascii="Book Antiqua" w:eastAsia="Calibri" w:hAnsi="Book Antiqua" w:cs="Times New Roman"/>
          <w:sz w:val="24"/>
          <w:szCs w:val="24"/>
        </w:rPr>
        <w:t xml:space="preserve"> yang bersumber dari Tuhan</w:t>
      </w:r>
      <w:r w:rsidRPr="002B0EFC">
        <w:rPr>
          <w:rFonts w:ascii="Book Antiqua" w:eastAsia="Calibri" w:hAnsi="Book Antiqua" w:cs="Times New Roman"/>
          <w:sz w:val="24"/>
          <w:szCs w:val="24"/>
          <w:lang w:val="en-US"/>
        </w:rPr>
        <w:t>,karena Tuhan memiliki pengetahuan dan kebijaksanaan tertinggi</w:t>
      </w:r>
      <w:r w:rsidRPr="002B0EFC">
        <w:rPr>
          <w:rFonts w:ascii="Book Antiqua" w:eastAsia="Calibri" w:hAnsi="Book Antiqua" w:cs="Times New Roman"/>
          <w:sz w:val="24"/>
          <w:szCs w:val="24"/>
        </w:rPr>
        <w:t xml:space="preserve"> untuk menentukan jalan yang terbaik dan benar bagi umatnya.</w:t>
      </w:r>
    </w:p>
    <w:p w:rsidR="00346169" w:rsidRPr="002B0EFC" w:rsidRDefault="00346169" w:rsidP="002B0EFC">
      <w:pPr>
        <w:spacing w:after="0" w:line="360" w:lineRule="auto"/>
        <w:ind w:firstLine="720"/>
        <w:jc w:val="both"/>
        <w:rPr>
          <w:rFonts w:ascii="Book Antiqua" w:eastAsia="Calibri" w:hAnsi="Book Antiqua" w:cs="Times New Roman"/>
          <w:sz w:val="24"/>
          <w:szCs w:val="24"/>
        </w:rPr>
      </w:pPr>
      <w:r w:rsidRPr="002B0EFC">
        <w:rPr>
          <w:rFonts w:ascii="Book Antiqua" w:eastAsia="Calibri" w:hAnsi="Book Antiqua" w:cs="Times New Roman"/>
          <w:sz w:val="24"/>
          <w:szCs w:val="24"/>
          <w:lang w:val="en-US"/>
        </w:rPr>
        <w:t xml:space="preserve">Kebenaran hakiki </w:t>
      </w:r>
      <w:r w:rsidRPr="002B0EFC">
        <w:rPr>
          <w:rFonts w:ascii="Book Antiqua" w:eastAsia="Calibri" w:hAnsi="Book Antiqua" w:cs="Times New Roman"/>
          <w:sz w:val="24"/>
          <w:szCs w:val="24"/>
        </w:rPr>
        <w:t>T</w:t>
      </w:r>
      <w:r w:rsidRPr="002B0EFC">
        <w:rPr>
          <w:rFonts w:ascii="Book Antiqua" w:eastAsia="Calibri" w:hAnsi="Book Antiqua" w:cs="Times New Roman"/>
          <w:sz w:val="24"/>
          <w:szCs w:val="24"/>
          <w:lang w:val="en-US"/>
        </w:rPr>
        <w:t>uhan sebagai sumber asal Islam adalah wahyu</w:t>
      </w:r>
      <w:r w:rsidRPr="002B0EFC">
        <w:rPr>
          <w:rFonts w:ascii="Book Antiqua" w:eastAsia="Calibri" w:hAnsi="Book Antiqua" w:cs="Times New Roman"/>
          <w:sz w:val="24"/>
          <w:szCs w:val="24"/>
        </w:rPr>
        <w:t xml:space="preserve">, </w:t>
      </w:r>
      <w:r w:rsidRPr="002B0EFC">
        <w:rPr>
          <w:rFonts w:ascii="Book Antiqua" w:eastAsia="Calibri" w:hAnsi="Book Antiqua" w:cs="Times New Roman"/>
          <w:sz w:val="24"/>
          <w:szCs w:val="24"/>
          <w:lang w:val="en-US"/>
        </w:rPr>
        <w:t xml:space="preserve">dimana prinsip-prinsip fundamentalnya tidak mengalami perubahan sejalan berjalannya waktu danperubahan keadaan. Prinsip-prinsip dasar fundamentalnya tetap sama meski dalam waktu yang berbeda. Prinsip-prinsip fundamentalnya bersifat tetap dan tidak takluk terhadap perubahan </w:t>
      </w:r>
      <w:r w:rsidRPr="002B0EFC">
        <w:rPr>
          <w:rFonts w:ascii="Book Antiqua" w:eastAsia="Calibri" w:hAnsi="Book Antiqua" w:cs="Times New Roman"/>
          <w:sz w:val="24"/>
          <w:szCs w:val="24"/>
        </w:rPr>
        <w:t xml:space="preserve">yang bersifat </w:t>
      </w:r>
      <w:r w:rsidRPr="002B0EFC">
        <w:rPr>
          <w:rFonts w:ascii="Book Antiqua" w:eastAsia="Calibri" w:hAnsi="Book Antiqua" w:cs="Times New Roman"/>
          <w:sz w:val="24"/>
          <w:szCs w:val="24"/>
          <w:lang w:val="en-US"/>
        </w:rPr>
        <w:t>kesementaraan</w:t>
      </w:r>
      <w:r w:rsidRPr="002B0EFC">
        <w:rPr>
          <w:rFonts w:ascii="Book Antiqua" w:eastAsia="Calibri" w:hAnsi="Book Antiqua" w:cs="Times New Roman"/>
          <w:sz w:val="24"/>
          <w:szCs w:val="24"/>
        </w:rPr>
        <w:t>.</w:t>
      </w:r>
      <w:r w:rsidRPr="002B0EFC">
        <w:rPr>
          <w:rFonts w:ascii="Book Antiqua" w:eastAsia="Calibri" w:hAnsi="Book Antiqua" w:cs="Times New Roman"/>
          <w:i/>
          <w:sz w:val="24"/>
          <w:szCs w:val="24"/>
        </w:rPr>
        <w:t>Worldview</w:t>
      </w:r>
      <w:r w:rsidRPr="002B0EFC">
        <w:rPr>
          <w:rFonts w:ascii="Book Antiqua" w:eastAsia="Calibri" w:hAnsi="Book Antiqua" w:cs="Times New Roman"/>
          <w:sz w:val="24"/>
          <w:szCs w:val="24"/>
        </w:rPr>
        <w:t xml:space="preserve"> Islam diwujudkan dengan suatu nilai otentisitas dan finalitas yang merujuk pada apa yang menjadi pamuncak dan memproyeksikan suatu pandangan realitas serta kebenaran yang melingkupi sekaligus keberadaan dan kehidupan dalam perspektif total yang </w:t>
      </w:r>
      <w:r w:rsidRPr="002B0EFC">
        <w:rPr>
          <w:rFonts w:ascii="Book Antiqua" w:eastAsia="Calibri" w:hAnsi="Book Antiqua" w:cs="Times New Roman"/>
          <w:sz w:val="24"/>
          <w:szCs w:val="24"/>
        </w:rPr>
        <w:lastRenderedPageBreak/>
        <w:t>anasir fundamentalnyasecara permanen bersifat mapan,</w:t>
      </w:r>
      <w:r w:rsidRPr="002B0EFC">
        <w:rPr>
          <w:rStyle w:val="FootnoteReference"/>
          <w:rFonts w:ascii="Book Antiqua" w:eastAsia="Calibri" w:hAnsi="Book Antiqua" w:cs="Times New Roman"/>
          <w:sz w:val="24"/>
          <w:szCs w:val="24"/>
        </w:rPr>
        <w:footnoteReference w:id="434"/>
      </w:r>
      <w:r w:rsidRPr="002B0EFC">
        <w:rPr>
          <w:rFonts w:ascii="Book Antiqua" w:eastAsia="Calibri" w:hAnsi="Book Antiqua" w:cs="Times New Roman"/>
          <w:sz w:val="24"/>
          <w:szCs w:val="24"/>
        </w:rPr>
        <w:t xml:space="preserve"> hal ini seperti disebutkan dalam Q.S al-An’am ayat 114-115;</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rPr>
        <w:t>“Pantaskah aku mencari hakim selain Allah, padahal Dialah yang menurunkan Kitab (al-Quran) keapadamu secara rinci? Orang-orang yang telah kami beri kitab mengetahui benar bahwa (al-Quran) itu diturunkan dari Tuhanmu dengan benar. Maka janganlah kamu termasuk orang-orang yang ragu.”</w:t>
      </w:r>
    </w:p>
    <w:p w:rsidR="00346169" w:rsidRPr="002B0EFC" w:rsidRDefault="00346169" w:rsidP="002B0EFC">
      <w:pPr>
        <w:spacing w:after="0" w:line="360" w:lineRule="auto"/>
        <w:jc w:val="both"/>
        <w:rPr>
          <w:rFonts w:ascii="Book Antiqua" w:eastAsia="Calibri" w:hAnsi="Book Antiqua" w:cs="Times New Roman"/>
          <w:i/>
          <w:sz w:val="24"/>
          <w:szCs w:val="24"/>
        </w:rPr>
      </w:pPr>
      <w:r w:rsidRPr="002B0EFC">
        <w:rPr>
          <w:rFonts w:ascii="Book Antiqua" w:eastAsia="Calibri" w:hAnsi="Book Antiqua" w:cs="Times New Roman"/>
          <w:i/>
          <w:sz w:val="24"/>
          <w:szCs w:val="24"/>
        </w:rPr>
        <w:t>“Dan telah sempurna firman Tuhanmu (al-Quran) dengan benar dan adil. Tidak ada yang dapat mengubah firman-Nya. Dan Dia maha mendengar, maha mengetahui.”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eastAsia="Calibri" w:hAnsi="Book Antiqua" w:cs="Times New Roman"/>
          <w:sz w:val="24"/>
          <w:szCs w:val="24"/>
        </w:rPr>
        <w:t xml:space="preserve">Manusia sejak awal penciptaannya telah dibekali indera, akal dan hati nurani untuk memperoleh pengetahuan dengan baik dan benar, meskipun zaman terus berubah, akan tetapi sumber daya manusia tersebut tetap memiliki peran yang sangat penting, karena cara kerjanya telah diatur sedemikian rupa oleh Tuhan. Kebenaran hakiki bersumber dari Tuhan yang memiliki tingkat mutlak, karena ditentukan oleh yang maha kuasa atas segalanya. Dalam upaya memperoleh kebenaran hakiki sangatlah sulit, karena tidak hanya menggunakan sarana penalaran tertentu dari indera, akal dan hati nurani untuk mengembangkan epistemologi, tetapi harus menggunakan seluruh instrumen tersebut dalam satu kesatuan sistem epistemologi secara maksimal sesuai dengan petunjuk Tuhan. Oleh karen itu, kebenaran hakikidalam ilmu hukum adalah kebenaran tertinggi yang diberikan Tuhan kepada manusia setelah melakukan usaha keras, sehingga kebenaran yang diperoleh manusia merupakan kebenaran yang paling benar. Kebenaran hakiki telah dijamin oleh Tuhan sebagai penguasa segala yang maha mengetahui mana yang terbaik untuk umatnya, seperti disebutkan dalam Q.S al-Naml ayat 6; </w:t>
      </w:r>
      <w:r w:rsidRPr="002B0EFC">
        <w:rPr>
          <w:rFonts w:ascii="Book Antiqua" w:eastAsia="Calibri" w:hAnsi="Book Antiqua" w:cs="Times New Roman"/>
          <w:i/>
          <w:sz w:val="24"/>
          <w:szCs w:val="24"/>
        </w:rPr>
        <w:t>“Dan sesungguhnya kamu benar-benar diberi al-Quran dari sisi Allah yang maha bijaksana dan maha mengetahui.”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Kesempurnaan nalar untuk mencapai kebenaran hakiki Tuhan seperti halnya dalam Islam yang tidak memandang secara dikotomik yang memisahkan antara empiris dan rasional. Dalam pemikiran Islam tidak mengenal literalis ala fundamentalis dan juga tidak mengenal rasionalis murni. Sebagaimana juga tidak </w:t>
      </w:r>
      <w:r w:rsidRPr="002B0EFC">
        <w:rPr>
          <w:rFonts w:ascii="Book Antiqua" w:hAnsi="Book Antiqua" w:cs="Times New Roman"/>
          <w:sz w:val="24"/>
          <w:szCs w:val="24"/>
        </w:rPr>
        <w:lastRenderedPageBreak/>
        <w:t>mengenal aliran empirism model logika positivism. Oleh karena itu, pemikiran Islam tidak mengenal pemisahan objektif-subjektif, induktif-deduktif, tekstual-kontekstual dan historis-normatif. Indera, akal dan hati nurani yang tidak dijalankan secara konvergensi berkeadaban berdasarkan petunjuk Tuhan dapat menyesatkan manusia, sebagaimana disebutkan dalam al-An’am ayat 116-117;</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jika kamu mengikuti kebanyakan orang di bumi ini, niscaya mereka akan menyesatkanmu dari jalan Allah. Yang mereka ikuti hanya persangkaan belaka dan mereka hanyalah membuat kebohongan.”</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i/>
          <w:sz w:val="24"/>
          <w:szCs w:val="24"/>
        </w:rPr>
        <w:t xml:space="preserve">“Sesungguhnya Tuhanmu, Dialah yang lebih mengetahui siapa yang tersesat dari  jalan-Nya, dan dia lebih mengetahui orang-orang yang mendapat petunjuk.” </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Dalam paradigma pemikiran Islam seperti dikemukakan Naquib al-Attas, keseluruhan daripada itu semua menyatu menjadi satu kesatuan sistem yang utuh, komprehensif dan bijak. Dengan demikian, maka manusia mampu meletakkan sesuatu pada formasi dan strukturnya, yaitu sesuai dengan kedudukan, peran dan fungsinya dalam kehidupa</w:t>
      </w:r>
      <w:r w:rsidR="00346169" w:rsidRPr="002B0EFC">
        <w:rPr>
          <w:rStyle w:val="FootnoteReference"/>
          <w:rFonts w:ascii="Book Antiqua" w:hAnsi="Book Antiqua" w:cs="Arial"/>
          <w:sz w:val="24"/>
          <w:szCs w:val="24"/>
        </w:rPr>
        <w:footnoteReference w:id="435"/>
      </w:r>
      <w:r>
        <w:rPr>
          <w:rFonts w:ascii="Book Antiqua" w:hAnsi="Book Antiqua" w:cs="Times New Roman"/>
          <w:sz w:val="24"/>
          <w:szCs w:val="24"/>
        </w:rPr>
        <w:t xml:space="preserve"> </w:t>
      </w:r>
      <w:r w:rsidR="00346169" w:rsidRPr="002B0EFC">
        <w:rPr>
          <w:rFonts w:ascii="Book Antiqua" w:hAnsi="Book Antiqua" w:cs="Times New Roman"/>
          <w:sz w:val="24"/>
          <w:szCs w:val="24"/>
        </w:rPr>
        <w:t>Upaya tersebut merupakan bentuk dari kesempurnaan nalar manusia dalam memahami pengetahuan, sehingga terhadap pengetahuan tersebut tidak ada unsur keraguan atau kesalahan karena merupakan kebenaran hakiki yang telah dijamin kebenarannya oleh Tuhan. Atas segala yang dilakukan karena berdasarkan petunjuk Tuhan dan merupakan jalan lurus yang harus dipegang teguh oleh manusia, termasuk dalam penggunaan indera, akal dan hati nurani sebagai sarana penalaran untuk mengembangkan epistemologi ilmu hukum. Indera, akal dan hati nurani harus dipahami sebagai konsep konvergensi epistemologi berkeadaban dalam ilmu hukum agar manusia mendapatkan satu titik temu pada tingkat tertinggi sebagai bentuk dari kesempurnaan nalar untuk mencapai kebenaran hakiki Tuhan.</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Manusia melalui nilai-nilai Islam yang terdapat dalam al-Quran dapat mengembangkan pengetahuan tentang objek ilmu yang tidak bertentangan dengan indera, akal dan hati nurani.</w:t>
      </w:r>
      <w:r w:rsidRPr="002B0EFC">
        <w:rPr>
          <w:rStyle w:val="FootnoteReference"/>
          <w:rFonts w:ascii="Book Antiqua" w:hAnsi="Book Antiqua" w:cs="Times New Roman"/>
          <w:sz w:val="24"/>
          <w:szCs w:val="24"/>
        </w:rPr>
        <w:footnoteReference w:id="436"/>
      </w:r>
      <w:r w:rsidRPr="002B0EFC">
        <w:rPr>
          <w:rFonts w:ascii="Book Antiqua" w:hAnsi="Book Antiqua" w:cs="Times New Roman"/>
          <w:sz w:val="24"/>
          <w:szCs w:val="24"/>
        </w:rPr>
        <w:t xml:space="preserve"> Hal ini juga terkait dengan upaya manusia menggunakan nalarnya sesuai dengan petunjuk Tuhan. Manusia sebagai mahluk </w:t>
      </w:r>
      <w:r w:rsidRPr="002B0EFC">
        <w:rPr>
          <w:rFonts w:ascii="Book Antiqua" w:hAnsi="Book Antiqua" w:cs="Times New Roman"/>
          <w:sz w:val="24"/>
          <w:szCs w:val="24"/>
        </w:rPr>
        <w:lastRenderedPageBreak/>
        <w:t xml:space="preserve">Tuhan yang sempurna memiliki derajat lebih tinggi dari mahluk yang lain, sekaligusmenjadi khalifahwakil Tuhan di muka bumiyang telah dianugerahkan sarana penalaran dalam mengembangkan epistemologuntuk menggali dan memperoleh pengetahuan yang benar. Dalam al-Quran banyak kalimat yang menjelaskan tentang formasi dan struktur sarana penalaran dalam mengembangkan epistemologi pengetahuan yang terkait dengan kedudukan, peran dan fungsi indera, akal dan hati nurani. Formasi dan struktur sarana penalaran indera, akal dan hati nurani dalam mengembangkan epistemologi pengetahuan telah banyak disebutkan dalam al-Quran tersebut menunjukkan betapa perhatian Tuhan kepada manusia dalam upaya memperoleh kebenaran hakiki Tuhan melalui kesempurnaan nalar. Petunjuk Tuhan terhadap penggunaan indera, akal dan hati nurani menjadi jaminan kesempurnaan nalar manusia, sehingga manusia tidak boleh meragukan kebenaran ilmu pengetahuan yang telah dihasilkan dengan cara tersebut, sebagaimana disebutkan dalam Q.S al-Baqarah ayat 147; </w:t>
      </w:r>
      <w:r w:rsidRPr="002B0EFC">
        <w:rPr>
          <w:rFonts w:ascii="Book Antiqua" w:hAnsi="Book Antiqua" w:cs="Times New Roman"/>
          <w:i/>
          <w:sz w:val="24"/>
          <w:szCs w:val="24"/>
        </w:rPr>
        <w:t>“Kebenaran itu dari Tuhanmu, sebab itu jangan sekali-kali kamu termasuk orang yang ragu-ragu.”</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Segala Ilmu pengetahuan, termasuk ilmu hukum pada dasarnya bersumber dari Tuhan yang maha mengetahui segala sesuatu. Tuhan yang memberi ilmu pengetahuan kepada manusia tentang apa-apa yang tidak diketahuainya. Manusia dengan sarana penalaran indera, akal dan hati nurani dalam mengembangkan epistemologidapat menerima limpahan ilmu pengetahuan dari Tuhan. Hal itu dapat dilihat dari berbagai penjelasan yang disebutkan dalam al-Quran yang berisi perintah dan petunjuk manusia untuk menggunakan indera untuk melihat, akal untuk berpikir dan hati nurani untuk merasakan. Dalam upaya menggali dan memperoleh kebenaran pengetahuan, maka hendaklah manusia hingga mencapai kebenaran hakiki, karena itu sebagai bentuk kebenaran puncak tertinggi yang bersumber dari Tuhan. Kebenaran hakiki dari Tuhan sudah mutlak kebenarannya, karena itu dicipta oleh Tuhan yang maha mengetahui dan bijaksana sebagaimana disebutkan dalam Q.S al-Baqarah ayat 239;</w:t>
      </w:r>
    </w:p>
    <w:p w:rsidR="00346169" w:rsidRPr="00163DFA"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“Jika kamu dalam keadaan takut (bahaya), maka shalatlah sambil berjalan atau berkendaraan, kemudian apabila kamu telah aman, maka sebutlah Allah (shalatlah) sebagaimana Allah telah mengajarkan kepadamu apa yang belum kamu ketahui.”</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lastRenderedPageBreak/>
        <w:t>Dalam ayat tersebut dijelaskan, bahwa Tuhan yang maha kuasa atas segala sesuatu adalah yang mengetahui jalan terbaik untuk umatnya, sehingga manusia wajib mengikuti petunjuknya agar mendapat kebenaran hakiki.</w:t>
      </w:r>
    </w:p>
    <w:p w:rsidR="00346169" w:rsidRPr="002B0EFC" w:rsidRDefault="00346169" w:rsidP="002B0EFC">
      <w:pPr>
        <w:spacing w:after="0" w:line="360" w:lineRule="auto"/>
        <w:ind w:firstLine="720"/>
        <w:jc w:val="both"/>
        <w:rPr>
          <w:rFonts w:ascii="Book Antiqua" w:hAnsi="Book Antiqua" w:cs="Times New Roman"/>
          <w:sz w:val="24"/>
          <w:szCs w:val="24"/>
        </w:rPr>
      </w:pPr>
      <w:r w:rsidRPr="002B0EFC">
        <w:rPr>
          <w:rFonts w:ascii="Book Antiqua" w:hAnsi="Book Antiqua" w:cs="Times New Roman"/>
          <w:sz w:val="24"/>
          <w:szCs w:val="24"/>
        </w:rPr>
        <w:t xml:space="preserve">Kebenaran hakiki Tuhan yang harus dicapai manusia dengan kesempurnaan nalar pada dasarnya telah banyak disebutkan dalam al-Quran, sehingga tidak ada alasan bagi manusia untuk meragukannya. Hal ini seperti disebutkan dalam Q.S Thaha ayat 98; </w:t>
      </w:r>
      <w:r w:rsidRPr="002B0EFC">
        <w:rPr>
          <w:rFonts w:ascii="Book Antiqua" w:hAnsi="Book Antiqua" w:cs="Times New Roman"/>
          <w:i/>
          <w:sz w:val="24"/>
          <w:szCs w:val="24"/>
        </w:rPr>
        <w:t>“Sesungguhnya Tuhanmu hanyalah Allah, yang tidak ada Tuhan (yang berhak disembah) selain Dia. Ilmunya meliputi segala sesuatu.”</w:t>
      </w:r>
      <w:r w:rsidRPr="002B0EFC">
        <w:rPr>
          <w:rFonts w:ascii="Book Antiqua" w:hAnsi="Book Antiqua" w:cs="Times New Roman"/>
          <w:sz w:val="24"/>
          <w:szCs w:val="24"/>
        </w:rPr>
        <w:t xml:space="preserve"> Manusia yang beradab adalah manusia yang memiliki kesempurnaan nalar untuk menerima pengetahuan dari Tuhan. Tuhan telah banyak memberi petunjuk kepada manusia bagaimana cara menggali dan memperoleh pengetahuan yang benar, yaitu melalui titik temu tertinggi dari indera, akal dan hati nurani sebagai kesatuan sistem sarana penalaran dalam mengembangkan epistemologi. Bekerjanya sarana penalaran untuk mengembangkan epistemologi tersebut harus sesuai dengan petunjuk Tuhan, karena Tuhan adalah sumber dari segala pengetahuan, tanpa ada petunjuk dari Tuhan yang berupa cara menggunakan indera, akal dan hati nurani, maka manusia tidak akan memiliki nalar yang sempurna, dan sebagai akibatnya manusia tidak akan memperoleh kebenaranhakiki dari Tuhan. Hal ini seperti disebutkan dalam Q.S ath-Thalaq ayat 12;</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“Allah-lah yang mencipatakan tuju langit dan seperti itu pula bumi. Perintah Allah berlaku padanya, agar kamu mengetahui bahwasanya Allah maha kuasa atas segala sesuatu, dan sesungguhnya Allah, ilmunya benar-benar meliputi segala sesuatu.”</w:t>
      </w:r>
    </w:p>
    <w:p w:rsidR="00346169" w:rsidRPr="002B0EFC" w:rsidRDefault="00346169" w:rsidP="002B0EFC">
      <w:pPr>
        <w:spacing w:after="0" w:line="360" w:lineRule="auto"/>
        <w:jc w:val="both"/>
        <w:rPr>
          <w:rFonts w:ascii="Book Antiqua" w:hAnsi="Book Antiqua" w:cs="Times New Roman"/>
          <w:sz w:val="24"/>
          <w:szCs w:val="24"/>
        </w:rPr>
      </w:pPr>
      <w:r w:rsidRPr="002B0EFC">
        <w:rPr>
          <w:rFonts w:ascii="Book Antiqua" w:hAnsi="Book Antiqua" w:cs="Times New Roman"/>
          <w:sz w:val="24"/>
          <w:szCs w:val="24"/>
        </w:rPr>
        <w:t>Kebenaran hakiki Tuhan dapat dipahami dari beberapa ayat al-Quran, seperti disebutkan dalam Q.S an-Nahl ayat 77;</w:t>
      </w:r>
    </w:p>
    <w:p w:rsidR="00346169" w:rsidRPr="002B0EFC" w:rsidRDefault="00346169" w:rsidP="002B0EFC">
      <w:pPr>
        <w:spacing w:after="0" w:line="360" w:lineRule="auto"/>
        <w:jc w:val="both"/>
        <w:rPr>
          <w:rFonts w:ascii="Book Antiqua" w:hAnsi="Book Antiqua" w:cs="Times New Roman"/>
          <w:i/>
          <w:sz w:val="24"/>
          <w:szCs w:val="24"/>
        </w:rPr>
      </w:pPr>
      <w:r w:rsidRPr="002B0EFC">
        <w:rPr>
          <w:rFonts w:ascii="Book Antiqua" w:hAnsi="Book Antiqua" w:cs="Times New Roman"/>
          <w:i/>
          <w:sz w:val="24"/>
          <w:szCs w:val="24"/>
        </w:rPr>
        <w:t>“Dan kepunyaan Allah-lah segala apa yang tersembunyi di langit dan di bumi. Tidak adalah kejadian kiamat itu, melainkan seperti sekejap mata atau lebih cepat (lagi). Sesungguhnya Allah Maha kuasa atas segala sesuatu.”</w:t>
      </w:r>
    </w:p>
    <w:p w:rsidR="00346169" w:rsidRPr="002B0EFC" w:rsidRDefault="00163DFA" w:rsidP="002B0EFC">
      <w:pPr>
        <w:spacing w:after="0" w:line="360" w:lineRule="auto"/>
        <w:jc w:val="both"/>
        <w:rPr>
          <w:rFonts w:ascii="Book Antiqua" w:hAnsi="Book Antiqua" w:cs="Times New Roman"/>
          <w:sz w:val="24"/>
          <w:szCs w:val="24"/>
        </w:rPr>
      </w:pPr>
      <w:r>
        <w:rPr>
          <w:rFonts w:ascii="Book Antiqua" w:hAnsi="Book Antiqua" w:cs="Times New Roman"/>
          <w:sz w:val="24"/>
          <w:szCs w:val="24"/>
        </w:rPr>
        <w:t xml:space="preserve">          </w:t>
      </w:r>
      <w:r w:rsidR="00346169" w:rsidRPr="002B0EFC">
        <w:rPr>
          <w:rFonts w:ascii="Book Antiqua" w:hAnsi="Book Antiqua" w:cs="Times New Roman"/>
          <w:sz w:val="24"/>
          <w:szCs w:val="24"/>
        </w:rPr>
        <w:t xml:space="preserve">Sifat hakiki kebenaran Tuhan dalam ayat tersebut seperti tampak dalam kemampuan Tuhan untuk mengetahui segala sesuatu yang masih tersembunyi dan kemampuan untuk melakukan segala sesuatu yang dikehendaki-Nya. Oleh karena itu, manusia wajib mengimaninya sebagai bentuk ketaatan diri pada kebenaran </w:t>
      </w:r>
      <w:r w:rsidR="00346169" w:rsidRPr="002B0EFC">
        <w:rPr>
          <w:rFonts w:ascii="Book Antiqua" w:hAnsi="Book Antiqua" w:cs="Times New Roman"/>
          <w:sz w:val="24"/>
          <w:szCs w:val="24"/>
        </w:rPr>
        <w:lastRenderedPageBreak/>
        <w:t>Tuhan. Dalam al-Quran juga telah banyak disebutkan tentang adanya dua alam, yaitu alam metafisik (gaib) dan alam fisik (nyata). Alam metafisik dalam hal ini memiliki kedekatan dengan ilmu pengetahuan batin yang terdapat dalam hati nurani, sedangkan alam fisik memiliki kedekatan dengan ilmu pengetahuan yang bersifat lahir yang terdapat dalam indera dan akal. Kedua pengetahuan tentang alam tersebut harus menjadi satu kesatuan sistem epistemologi dalam diri manusia yang saling mendukung untuk membentuk kesempurnaan nalar guna mencapai kebenaran hakiki Tuhan.</w:t>
      </w:r>
    </w:p>
    <w:p w:rsidR="00346169" w:rsidRPr="002B0EFC" w:rsidRDefault="00346169" w:rsidP="002B0EFC">
      <w:pPr>
        <w:spacing w:after="0" w:line="360" w:lineRule="auto"/>
        <w:ind w:firstLine="720"/>
        <w:jc w:val="both"/>
        <w:rPr>
          <w:rFonts w:ascii="Book Antiqua" w:hAnsi="Book Antiqua" w:cs="Times New Roman"/>
          <w:i/>
          <w:sz w:val="24"/>
          <w:szCs w:val="24"/>
        </w:rPr>
      </w:pPr>
      <w:r w:rsidRPr="002B0EFC">
        <w:rPr>
          <w:rFonts w:ascii="Book Antiqua" w:hAnsi="Book Antiqua" w:cs="Times New Roman"/>
          <w:sz w:val="24"/>
          <w:szCs w:val="24"/>
        </w:rPr>
        <w:t xml:space="preserve">Kebenaran hakiki dalam ilmu hukum sebagai bentuk kebenaran tertinggi yang dicapai dengan melalui konsep konvergensi epistemologi berkeadaban merupakan kecerdasan tertinggi lahir dan batin manusia sebagaimana disebutkan dalam penjelasan Q.S al-An’am ayat 155; </w:t>
      </w:r>
      <w:r w:rsidRPr="002B0EFC">
        <w:rPr>
          <w:rFonts w:ascii="Book Antiqua" w:hAnsi="Book Antiqua" w:cs="Times New Roman"/>
          <w:i/>
          <w:sz w:val="24"/>
          <w:szCs w:val="24"/>
        </w:rPr>
        <w:t>“Dan ini adalah kitab (al-Quran) yang kami turunkan dengan penuh berkah. Ikutlah dan bertaqwalah agar kamu mendapat rahmat.”</w:t>
      </w:r>
      <w:r w:rsidRPr="002B0EFC">
        <w:rPr>
          <w:rFonts w:ascii="Book Antiqua" w:hAnsi="Book Antiqua" w:cs="Times New Roman"/>
          <w:sz w:val="24"/>
          <w:szCs w:val="24"/>
        </w:rPr>
        <w:t xml:space="preserve"> Al-Quran di dalamnya berisi tentang petunjuk-petunujuk Tuhan untuk manusia agar selalu menjalani kehidupan dengan baik dan benar, khususnya dalam hal ini adalah berisi perintah kepada manusia untuk menggunakan indera, akal dan hati nurani sebagai sarana penalaran dalam mengembangkan epistemologi untuk menggali dan memperoleh pengetahuan yang benar, agar mendapat kebenaran hakiki Tuhan. Manusiadengan capaian usaha penalaran epistemologi tertinggi untuk mendapat kebenaran hakiki yang bersumber dari Tuhan tersebut akan mendapat perlindungan dan sekaligus tempat yang mulai disisi Tuhan, seperti dijelaskan dalam Q.S al-An’am ayat 127; </w:t>
      </w:r>
      <w:r w:rsidRPr="002B0EFC">
        <w:rPr>
          <w:rFonts w:ascii="Book Antiqua" w:hAnsi="Book Antiqua" w:cs="Times New Roman"/>
          <w:i/>
          <w:sz w:val="24"/>
          <w:szCs w:val="24"/>
        </w:rPr>
        <w:t>“Bagi mereka (disediakan) tempat yang damai (surga) di sisi Tuhannya. Dan Dialah pelindung mereka karena amal kebajikan yang mereka kerjakan.”</w:t>
      </w:r>
    </w:p>
    <w:p w:rsidR="00346169" w:rsidRPr="002B0EFC" w:rsidRDefault="00346169" w:rsidP="002B0EFC">
      <w:pPr>
        <w:spacing w:after="0" w:line="360" w:lineRule="auto"/>
        <w:jc w:val="both"/>
        <w:rPr>
          <w:rFonts w:ascii="Book Antiqua" w:eastAsia="Times New Roman" w:hAnsi="Book Antiqua" w:cs="Arial"/>
          <w:b/>
          <w:sz w:val="24"/>
          <w:szCs w:val="24"/>
        </w:rPr>
      </w:pPr>
      <w:r w:rsidRPr="002B0EFC">
        <w:rPr>
          <w:rFonts w:ascii="Book Antiqua" w:eastAsia="Times New Roman" w:hAnsi="Book Antiqua" w:cs="Arial"/>
          <w:b/>
          <w:sz w:val="24"/>
          <w:szCs w:val="24"/>
        </w:rPr>
        <w:t xml:space="preserve">c. Pembaruan epistemologi ilmu hukum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Sejarah perkembangan epistemologi ilmu hukum yang telah berjalan selama ini menunjukkan perjalananyang tidak mungkin akan kembali seperti pada zamannya. Dalam upaya melakukan pembaruan ilmu hukum yang baik seharusnya tidak menarik pada memori kejayaan masa lampau, tetapi lebih pada orientasi baru yang jauh kedepan sesuai dengan perkembangan zaman dengan tetap memegang prinsip dan nilai-nilai kebenaran hakiki. Sebagaimana telah kita ketahui bersama, bahwa perkembangan ilmu hukum hampir sama seperti dalam perkembangan ilmu </w:t>
      </w:r>
      <w:r w:rsidRPr="002B0EFC">
        <w:rPr>
          <w:rFonts w:ascii="Book Antiqua" w:eastAsia="Times New Roman" w:hAnsi="Book Antiqua" w:cs="Arial"/>
          <w:sz w:val="24"/>
          <w:szCs w:val="24"/>
        </w:rPr>
        <w:lastRenderedPageBreak/>
        <w:t xml:space="preserve">pengetahuan yang lain. Ilmu pengetahuan yang menggunakan sarana penalaran hati nurani manusia sejak awal peradaban kehidupan telah menjadi epistemologi yang lazim digunakan untuk menggali dan memperoleh ilmu pengetahuan yang benar, akan tetapi kepentingan manusia yang terus meningkat dengan berbagai kebutuhan yang menuntutnya telah menggeser dan menetapkan cara berpikir positivistik menjadi </w:t>
      </w:r>
      <w:r w:rsidRPr="002B0EFC">
        <w:rPr>
          <w:rFonts w:ascii="Book Antiqua" w:eastAsia="Times New Roman" w:hAnsi="Book Antiqua" w:cs="Arial"/>
          <w:i/>
          <w:sz w:val="24"/>
          <w:szCs w:val="24"/>
        </w:rPr>
        <w:t>main-stream</w:t>
      </w:r>
      <w:r w:rsidRPr="002B0EFC">
        <w:rPr>
          <w:rFonts w:ascii="Book Antiqua" w:eastAsia="Times New Roman" w:hAnsi="Book Antiqua" w:cs="Arial"/>
          <w:sz w:val="24"/>
          <w:szCs w:val="24"/>
        </w:rPr>
        <w:t xml:space="preserve"> utama yang berhasil mendominasi perannya hampir dalam sepanjang sejarah. Hal itu dapat dilihat dari realitas hukum yang sekarang terjadi, masih menggunakan cara kerja epistemologi ilmu hukum positivistik yang mendasarkan secara ketat pada logika rasional akal. Pengukuhan positivistik hukum lebih kuat dan telah tersistem dalam perkembangan hukum akibat dari pengaruh kemajuan iptek, sehingga menjadi standart baku yang dapat diakui secara resmi dalam berbagai upaya melakukan perbaikan hukum. Tradisi kebiasaan, adat istiadat dan budaya yang ada di masyarakat sebagai bentuk realitas hukum, meskipun berusaha keras untuk masuk menjadi bagian unsur yang mempengaruhi hukum juga belum mampu berdampingan dengan kuatnya kepentingan yang terdapat dalam sistem logika hukum. Postmodern yang mengusung sarana penalaran hati nurani juga mengalami kesulitan untuk ikut mewarnai dan memberi keseimbangan terhadap positivistik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Perkembangan epistemologi ilmu pengetahuan tidak dapat dikatakan sebagai bentuk siklus yang berputar atau kejadian yang akan kembali seperti semula, tetapi itu merupakan proses zaman yang berjalan maju ke depan dan tidak akan pernah kembali ke belakang. Kemiripan atau persamaan yang muncul bukanlah sesuatu yang benar-benar sama tanpa ada perbedaan, tetapi hanya sesuatu penyesuaian yang secara tidak langsung memiliki sifat yang cenderung identik. Waktu telah memisahkan sesuatu dari masa lampau dengan masa yang akan datang, sehingga terhadap permasalahan tertentu hanya memiliki konteks yang terbatas pada zamannya. Namun demikian bukan berarti yang telah lampau dapat ditinggal dan dikesampingkan begitu saja, tetapi dapat digunakan sebagai dasar pijakkan untuk melompat pada keadaan baru yang akan datang. Oleh karena itu, dalam konteks perkembangan epistemologi ilmu hukum sangatlah penting untuk memahami dengan benar epistemologi ilmu hukum yang telah digunakan khususnya yang </w:t>
      </w:r>
      <w:r w:rsidRPr="002B0EFC">
        <w:rPr>
          <w:rFonts w:ascii="Book Antiqua" w:eastAsia="Times New Roman" w:hAnsi="Book Antiqua" w:cs="Arial"/>
          <w:sz w:val="24"/>
          <w:szCs w:val="24"/>
        </w:rPr>
        <w:lastRenderedPageBreak/>
        <w:t>memiliki sarana penalaran utama indera, akaldan hati nurani dalam mengembangkan epistemologisebagai dasar untuk membentuk konsep baru yang mampu mempersatukan pada satu titik temu kebenaran tertinggi. Konsep konvergensi epistemologi berkedaban sebagai bentuk dari pembaruan epistemologi ilmu hukum senada dengan pendapat Robert W. Gordon, dalam memahami hukummenurutnya diperlukan beberapa lompatan untuk melakukan abstraksi, definisi, teorisasi dan metodologi hukum untuk menjangkau kedepan.</w:t>
      </w:r>
      <w:r w:rsidRPr="002B0EFC">
        <w:rPr>
          <w:rStyle w:val="FootnoteReference"/>
          <w:rFonts w:ascii="Book Antiqua" w:eastAsia="Times New Roman" w:hAnsi="Book Antiqua" w:cs="Arial"/>
          <w:sz w:val="24"/>
          <w:szCs w:val="24"/>
        </w:rPr>
        <w:footnoteReference w:id="437"/>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Fenomena perkembangan ilmu hukum tersebut patut menjadi bahan renungan dan pembelajaran yang penting, mengapa upaya pembaruan tersebut mengalami ketidakberhasilan. Artinya dalam memahami ilmu hukum tidak menemukan apa yang disebut kebenaran tertinggi dalam satu titik temu kesepakatan yang dapat diterima secara bersama. Hal ini dapat terjadi jika masing-masing sarana penalaran dalam mengembangkan epistemologi ilmu hukum masih memegang teguh kebenaran sendiri yang cenderung diunggulkan tanpa memahami keseluruhan yang lain secara bijak. Oleh karena itu, perlukonsep konvergensi epistemologi berkeadaban dalam ilmu hukummelalui cara pemahamanyang saling menguntungkan (</w:t>
      </w:r>
      <w:r w:rsidRPr="002B0EFC">
        <w:rPr>
          <w:rFonts w:ascii="Book Antiqua" w:eastAsia="Times New Roman" w:hAnsi="Book Antiqua" w:cs="Arial"/>
          <w:i/>
          <w:sz w:val="24"/>
          <w:szCs w:val="24"/>
        </w:rPr>
        <w:t>mutual understanding</w:t>
      </w:r>
      <w:r w:rsidRPr="002B0EFC">
        <w:rPr>
          <w:rFonts w:ascii="Book Antiqua" w:eastAsia="Times New Roman" w:hAnsi="Book Antiqua" w:cs="Arial"/>
          <w:sz w:val="24"/>
          <w:szCs w:val="24"/>
        </w:rPr>
        <w:t>) dan upaya perbaikan diri (</w:t>
      </w:r>
      <w:r w:rsidRPr="002B0EFC">
        <w:rPr>
          <w:rFonts w:ascii="Book Antiqua" w:eastAsia="Times New Roman" w:hAnsi="Book Antiqua" w:cs="Arial"/>
          <w:i/>
          <w:sz w:val="24"/>
          <w:szCs w:val="24"/>
        </w:rPr>
        <w:t>improvement</w:t>
      </w:r>
      <w:r w:rsidRPr="002B0EFC">
        <w:rPr>
          <w:rFonts w:ascii="Book Antiqua" w:eastAsia="Times New Roman" w:hAnsi="Book Antiqua" w:cs="Arial"/>
          <w:sz w:val="24"/>
          <w:szCs w:val="24"/>
        </w:rPr>
        <w:t>) terhadap epistemologi ilmu hukum, sehingga dengan cara seperti itu akan diperoleh satu titik temu epistemologi ilmu hukum pada tingkat tertinggi sebagai bentuk dari kecerdasan hukum yang bijaksana (</w:t>
      </w:r>
      <w:r w:rsidRPr="002B0EFC">
        <w:rPr>
          <w:rFonts w:ascii="Book Antiqua" w:eastAsia="Times New Roman" w:hAnsi="Book Antiqua" w:cs="Arial"/>
          <w:i/>
          <w:sz w:val="24"/>
          <w:szCs w:val="24"/>
        </w:rPr>
        <w:t>meeting point; intelegen legal wisdom</w:t>
      </w:r>
      <w:r w:rsidRPr="002B0EFC">
        <w:rPr>
          <w:rFonts w:ascii="Book Antiqua" w:eastAsia="Times New Roman" w:hAnsi="Book Antiqua" w:cs="Arial"/>
          <w:sz w:val="24"/>
          <w:szCs w:val="24"/>
        </w:rPr>
        <w:t>) seperti telah dijelaskan di depan.</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Dalam keadaan perkembangan seperti zaman sekarang ini, penting untuk menggunakan konsep konvergensi epistemologi berkeadaban dalam ilmu hukum, agar segala persepsi yang berbeda tidak menjadi konflik, akan tetapi justru dapat menjadi unsur untuk memahami dan memperbaiki kelemahan menjadi kelebihan.Pembaruan epistemologi ilmu hukum dalam konsepkonvergensi epistemologi berkeadaban merupakan bentuk dari inovasi hukum seperti dikemukakan oleh Andrew Tuttyang diharapkan mampu menyesuaiakan diri dengan perkembangan jaman yang semakin kompleks permasalahannya.</w:t>
      </w:r>
      <w:r w:rsidRPr="002B0EFC">
        <w:rPr>
          <w:rStyle w:val="FootnoteReference"/>
          <w:rFonts w:ascii="Book Antiqua" w:eastAsia="Times New Roman" w:hAnsi="Book Antiqua" w:cs="Arial"/>
          <w:sz w:val="24"/>
          <w:szCs w:val="24"/>
        </w:rPr>
        <w:footnoteReference w:id="438"/>
      </w:r>
      <w:r w:rsidRPr="002B0EFC">
        <w:rPr>
          <w:rFonts w:ascii="Book Antiqua" w:eastAsia="Times New Roman" w:hAnsi="Book Antiqua" w:cs="Arial"/>
          <w:sz w:val="24"/>
          <w:szCs w:val="24"/>
        </w:rPr>
        <w:t xml:space="preserve"> Konsep </w:t>
      </w:r>
      <w:r w:rsidRPr="002B0EFC">
        <w:rPr>
          <w:rFonts w:ascii="Book Antiqua" w:eastAsia="Times New Roman" w:hAnsi="Book Antiqua" w:cs="Arial"/>
          <w:sz w:val="24"/>
          <w:szCs w:val="24"/>
        </w:rPr>
        <w:lastRenderedPageBreak/>
        <w:t>konvergensi epistemologi berkeadaban dalam ilmu hukum ini juga memiliki kesesuaian dengan apa yang dikemukakan oleh Hanoch Dagan &amp; Roy Kreitner terkait dengan karakter dari teori hukum. Menurutnya teori hukum berfungsi sebagai sumber kritik, jembatan di antara posisi hukum yang berlawanan dan tugas yang paling menantang dari teori hukum adalah mengakomodasi dengan baik wawasan analisis hukum sebagai hasil pemikiran yang menjadi kerangka teoritis yang dapat diterapkan untuk menjadi solusi permasalahan hukum dengan mengandalkan pemahaman nalar hukum yang cukup kuat untuk itu.</w:t>
      </w:r>
      <w:r w:rsidRPr="002B0EFC">
        <w:rPr>
          <w:rStyle w:val="FootnoteReference"/>
          <w:rFonts w:ascii="Book Antiqua" w:eastAsia="Times New Roman" w:hAnsi="Book Antiqua" w:cs="Arial"/>
          <w:sz w:val="24"/>
          <w:szCs w:val="24"/>
        </w:rPr>
        <w:footnoteReference w:id="439"/>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Perkembangan iptek dan arus globalisasi yang terjadi di seluruh dunia telah membuka lebar batas-batas sifat kekhususan yang dipertahankan oleh masing-masing pemahaman. Realitas empiris hukum yang terdapat dalam kehidupan masyarakat dapat saja dipengaruhi oleh pemikiran-pemikiran idealis yang tersusun dalam logika berpikir secara rasional sebagaimana yang dikembangkan dalam kemajuan ilmu pengetahuan dan teknologi. Komputerisasi dan dunia telekomunikasi elektronik yang serba canggih dan otomatis telah memudahkan kehidupan manusia untuk mencapai tingkat kepastian tinggi yang dapat terukur secara jelas dan tegas. Cara kerja profesional yang menjadi tuntutan utama dunia kerja dan kehidupan modern telah berhasil mengkukuhkan logika akal secara rasional sebagai basis utama epistemologinya. Hal ini juga termasuk dalam ilmu hukum yang mengikuti cara kerja berdasarkan logika rasional akal, sehingga kebenaran hukum yang dihasilkan akan bernilai benar atau salah, maksudnya benar jika telah sesuai dengan peraturan perundang-undangan dan salah jika bertentangan dengan peraturan perundang-undangan tersebut.</w:t>
      </w:r>
      <w:r w:rsidRPr="002B0EFC">
        <w:rPr>
          <w:rStyle w:val="FootnoteReference"/>
          <w:rFonts w:ascii="Book Antiqua" w:eastAsia="Times New Roman" w:hAnsi="Book Antiqua" w:cs="Arial"/>
          <w:sz w:val="24"/>
          <w:szCs w:val="24"/>
        </w:rPr>
        <w:footnoteReference w:id="440"/>
      </w:r>
      <w:r w:rsidRPr="002B0EFC">
        <w:rPr>
          <w:rFonts w:ascii="Book Antiqua" w:eastAsia="Times New Roman" w:hAnsi="Book Antiqua" w:cs="Arial"/>
          <w:sz w:val="24"/>
          <w:szCs w:val="24"/>
        </w:rPr>
        <w:t xml:space="preserve">Jika demikian, maka mesin-mesin teknik atau sistem komputer bahkan dapat secara otomatis untuk memberikan penilaian terhadap benar atau salah terhadap permasalahan hukum yang diajukan kepadanya, karena cara kerja akal yang telah di desain dalam sistem </w:t>
      </w:r>
      <w:r w:rsidRPr="002B0EFC">
        <w:rPr>
          <w:rFonts w:ascii="Book Antiqua" w:eastAsia="Times New Roman" w:hAnsi="Book Antiqua" w:cs="Arial"/>
          <w:sz w:val="24"/>
          <w:szCs w:val="24"/>
        </w:rPr>
        <w:lastRenderedPageBreak/>
        <w:t xml:space="preserve">logika positivistik dapat diterapkan kepada manusia dan mesin-mesin yang telah terprogram. Dunia hukum tidak dapat bekerja secara kaku dan bebas dari pengaruh perasaan dan nilai-nilai spiritualitas, sehingga diperlukan konsep konvergensi epistemologi berkeadaban dalam ilmu hukum yang mampu menyatukan semua cara kerja tersebut untuk mencapai tujuan bersama.   </w:t>
      </w:r>
    </w:p>
    <w:p w:rsidR="00346169" w:rsidRPr="002B0EFC"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Permasalahan hukum akan selalu muncul dalam bentuk yang berbeda, karena pengaruh kompleksitas kepentingan yang timbul dari semakin tingginya tuntutan kebutuhan hidup manusia. Oleh karena itu, permasalahan hukum yang terjadi di dunia hukum tidaklah cukup hanya dipahami dengan satu sudut pandang darisarana penalaran dalam mengembangkan epistemologi ilmu hukum tertentu, karena penilaian kebenaran yang dihasilkan dari cara kerjanya dapat menimbulkan konflik epistemologi seperti disampaikan di depan. Hal ini seperti terhadap suatu permasalahan hukum yang terjadi tidak pernah akan selesai hanya dipahami dengan sistem logika hukum formal seperti dalam peraturan perundang-undangan atau hanya dipahami dari realitas tradisi kebiasaan hukum di masyarakat. Manusia dalam dirinya memiliki hati nurani yang secara langsung atau tidak langsung dapat merasakan permasalahan hukum yang hadir dalam benak batin yang kemudian dapat diwujudkan dalam bentuk perasaan. Manusiasebagai mahluk Tuhan yang memiliki kepercayaan dan keyakinan mutlak kepada Tuhan sebagaimana terdapat dalam kitab suci dan nilai-nilai ajaran agama yang dapat mempengaruhi pemahaman terhadap permasalahan hukum yang diajukan kepadanya. Dengan demikian pada dasarnya dalam ilmu hukum terdapat indera, akal dan hati nuranisebagai sarana penalaran utamadalam mengembangkan epistemologi yang harus berjalan sesuai dengan petunjuk Tuhan. </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 xml:space="preserve">Manusia dapat menggunakan semua sarana penalaran dalam mengembangkan epistemologi ilmu pengetahuan tersebut untuk menggali dan memperoleh pengetauan yang benar, akan tetapi pada ranah aplikasinya manusia lebih cenderung untuk menggunkan sarana penalaran tertentu yang dianggapnya paling benar untuk memahami permaslaahan hukum yang terjadi dengan alasan keterbatasan atau kekhususan objek kajian hukumnya, padahal jika dipahami lebih dalam terhadap objek kajian hukum akan selalu mengikuti sarana penalaran dalam </w:t>
      </w:r>
      <w:r w:rsidRPr="002B0EFC">
        <w:rPr>
          <w:rFonts w:ascii="Book Antiqua" w:eastAsia="Times New Roman" w:hAnsi="Book Antiqua" w:cs="Arial"/>
          <w:sz w:val="24"/>
          <w:szCs w:val="24"/>
        </w:rPr>
        <w:lastRenderedPageBreak/>
        <w:t>mengembangkan epistemologi ilmu hukum tersebut dan tergantung pada manusia untuk dipergunakan atau tidak seperti yang telah disampaikan di depan. Oleh karena itu, diperlukan konsepkonvergensi epistemologi berkeadaban ilmu hukum dalam upaya pembaruan ilmu hukum dengan melibatkan seluruh sarana penalaran utama dalam mengembangkan epistemologi ilmu hukum yang ada untuk mencapai satu titik temu kebenaran tertinggi yang dapat diterima bersama-sama, sehingga kebenaran hukum yang dihasilkan merupakan kebenaran hakiki dari Tuhan yang memiliki nilai utuh, komprehensif dan bijak. Artinya dalam hal ini bukan memiliki banyak persepsi yang dapat dibenarkan oleh masing-masing sarana penalaran dalam mengembangkan epistemologi, tetapi merupakan satu kesatuan hasil dari pemahaman bersama yang saling menyesuaikan dari kelebihan dan kelemahan hingga menjadi satu titik temu tertinggi yang saling melengkapi dan terkait satu dengan yang lainnya dalam satu kesatuan sistem epistemologi ilmu hukum.</w:t>
      </w:r>
    </w:p>
    <w:p w:rsidR="00346169" w:rsidRPr="002B0EFC" w:rsidRDefault="00346169" w:rsidP="002B0EFC">
      <w:pPr>
        <w:spacing w:after="0" w:line="360" w:lineRule="auto"/>
        <w:ind w:firstLine="720"/>
        <w:jc w:val="both"/>
        <w:rPr>
          <w:rFonts w:ascii="Book Antiqua" w:eastAsia="Times New Roman" w:hAnsi="Book Antiqua" w:cs="Arial"/>
          <w:sz w:val="24"/>
          <w:szCs w:val="24"/>
        </w:rPr>
      </w:pPr>
      <w:r w:rsidRPr="002B0EFC">
        <w:rPr>
          <w:rFonts w:ascii="Book Antiqua" w:eastAsia="Times New Roman" w:hAnsi="Book Antiqua" w:cs="Arial"/>
          <w:sz w:val="24"/>
          <w:szCs w:val="24"/>
        </w:rPr>
        <w:t>Konsep konvergensi epistemologi berkeadaban dalam ilmu hukum sebagai bentuk pembaruan ilmu hukum merupakan suatu upaya untuk menggali dan memperoleh kebenaran ilmu hukum yang tidak hanya didasarkan pada salah satu sarana penalaran dalam mengembangkan epistemologi ilmu hukum tertentu, tetapi proses yang melibatkan seluruh sarana penalaran dalam mengembangkan epistemologi ilmu hukum untuk mencapai satu titik temu tertinggi yang menjadi kesepakatan bersama, sehingga dengan kelengkapan dari sarana penalaran dalam mengembangkan epistemologi ilmu hukum tersebut akan mampu menghasilkan kebenaran hukum hakikidari Tuhan yang</w:t>
      </w:r>
      <w:r w:rsidR="00B55B59">
        <w:rPr>
          <w:rFonts w:ascii="Book Antiqua" w:eastAsia="Times New Roman" w:hAnsi="Book Antiqua" w:cs="Arial"/>
          <w:sz w:val="24"/>
          <w:szCs w:val="24"/>
        </w:rPr>
        <w:t xml:space="preserve"> </w:t>
      </w:r>
      <w:r w:rsidRPr="002B0EFC">
        <w:rPr>
          <w:rFonts w:ascii="Book Antiqua" w:eastAsia="Times New Roman" w:hAnsi="Book Antiqua" w:cs="Arial"/>
          <w:sz w:val="24"/>
          <w:szCs w:val="24"/>
        </w:rPr>
        <w:t xml:space="preserve">utuh, komprehensif dan bijak. Pembaruan epistemologi ilmu hukum yang dilakukan dengan konsepkonvergensiberkeadaban berangkat dari sarana penalaran utama dalam mengembangkan epistemologi ilmu pengetahuan yang terdapat dalam diri manusiasebagaimana terdapat dalam teori hukum kodrat, positivisme hukum dan sejarah hukum. Konvergensi epistemologi berkeadaban memiliki cara pandang dan pemahaman yang autentik terhadap hukum. Autentisitas dalam epistemologi ilmu hukum ini merupakan dasar yang penting untuk dapat memahami kebenaran hukum yang sebenarnya sesuai dengan keadaan aslinya tanpa ada pengaruh ataupun pencampuran dari unsur yang lain. Dengan meletakkan sarana penalaran utama dalam mengembangkan epistemologi </w:t>
      </w:r>
      <w:r w:rsidRPr="002B0EFC">
        <w:rPr>
          <w:rFonts w:ascii="Book Antiqua" w:eastAsia="Times New Roman" w:hAnsi="Book Antiqua" w:cs="Arial"/>
          <w:sz w:val="24"/>
          <w:szCs w:val="24"/>
        </w:rPr>
        <w:lastRenderedPageBreak/>
        <w:t xml:space="preserve">ilmu hukum pada formal dan struktur yang autentik akan dapat diperoleh gambaran yang jelas dan bersifat orisinil dari kedudukan dan peran indera, akal dan hati nurani, sehingga dari situ dapat diketahui kelebihan dan kelemahannya untuk dilakukan perbaikan terhadapnya hingga menemukan satu titik temu kebenaran tertinggi hukum secara utuh, komprehensif dan bijak.                   </w:t>
      </w:r>
    </w:p>
    <w:p w:rsidR="0001073F" w:rsidRDefault="00346169" w:rsidP="002B0EFC">
      <w:pPr>
        <w:spacing w:after="0" w:line="360" w:lineRule="auto"/>
        <w:jc w:val="both"/>
        <w:rPr>
          <w:rFonts w:ascii="Book Antiqua" w:eastAsia="Times New Roman" w:hAnsi="Book Antiqua" w:cs="Arial"/>
          <w:sz w:val="24"/>
          <w:szCs w:val="24"/>
        </w:rPr>
      </w:pPr>
      <w:r w:rsidRPr="002B0EFC">
        <w:rPr>
          <w:rFonts w:ascii="Book Antiqua" w:eastAsia="Times New Roman" w:hAnsi="Book Antiqua" w:cs="Arial"/>
          <w:sz w:val="24"/>
          <w:szCs w:val="24"/>
        </w:rPr>
        <w:tab/>
        <w:t xml:space="preserve">Indera, akal dan hati nuranisebagai sarana penalaran utama dalam mengembangkan epistemologi ilmu hukum pernah diuji oleh zaman, sehingga eksistensinya dapat timbul dan tenggelam. Dalam upaya mengatasi berbagai permasalahan hukum yang terjadi telah dilakukan oleh manusia melalui sarana penalaran utamanindera, akal dan hati nurani sebagaimana telah dapat dilihat dari sejarah perkembangan ilmu hukum. Akan tetapi hingga saat ini belum mampu memberikan penyelesaian yang dapat diterima oleh semua pihak, karena masih ada pertentangan kebenaran yang berujung pada konflik epistemologi ilmu hukum. Pembaruan yang telah dicoba ditawarkan dalam mengatasi permasalahan hukum nampaknya masih cenderung mendasarkan pada salah satu sarana penalaran utama dalam mengembangkan epistemologi ilmu hukum tertentu, sehingga masih menyisakan persepsi yang dapat dibenturkan kebenarannya. Menyerahkan kebenaran hukum pada epistemologi ilmu hukum yang dikembangkan melalui sarana penalaran indera dengan melihat tradisi kebiasaan sebagai realitas empiris di masyarakat tanpa mempertimbangkan logika hukum yang terdapat dalam peraturan perundang-undangan danperasaan hukum dalam hati nurani dapat </w:t>
      </w:r>
      <w:r w:rsidR="00A538A5">
        <w:rPr>
          <w:rFonts w:ascii="Book Antiqua" w:eastAsia="Times New Roman" w:hAnsi="Book Antiqua" w:cs="Arial"/>
          <w:sz w:val="24"/>
          <w:szCs w:val="24"/>
        </w:rPr>
        <w:t xml:space="preserve">menimbulkan permasalahan hukum. </w:t>
      </w:r>
      <w:r w:rsidRPr="002B0EFC">
        <w:rPr>
          <w:rFonts w:ascii="Book Antiqua" w:eastAsia="Times New Roman" w:hAnsi="Book Antiqua" w:cs="Arial"/>
          <w:sz w:val="24"/>
          <w:szCs w:val="24"/>
        </w:rPr>
        <w:t>Oleh karena itu, diperlukan konsep konvergensi epistemologi berkeadaban dalam ilmu hukum yang mampu menampung seluruh cara kerja indera, akal dan hati nurani sebagai sarana penalaran utama dalam mengembangkan epistemologi untuk membentuk kesempurnaan nalar guna mencapai kebenaran hakiki Tuhan</w:t>
      </w: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B9042B" w:rsidP="002B0EFC">
      <w:pPr>
        <w:spacing w:after="0" w:line="360" w:lineRule="auto"/>
        <w:jc w:val="both"/>
        <w:rPr>
          <w:rFonts w:ascii="Book Antiqua" w:eastAsia="Times New Roman" w:hAnsi="Book Antiqua" w:cs="Arial"/>
          <w:sz w:val="24"/>
          <w:szCs w:val="24"/>
        </w:rPr>
      </w:pPr>
    </w:p>
    <w:p w:rsidR="00B9042B" w:rsidRDefault="00451FDB" w:rsidP="00C35E4F">
      <w:pPr>
        <w:spacing w:after="0" w:line="360" w:lineRule="auto"/>
        <w:jc w:val="center"/>
        <w:rPr>
          <w:rFonts w:ascii="Book Antiqua" w:eastAsia="Times New Roman" w:hAnsi="Book Antiqua" w:cs="Arial"/>
          <w:b/>
          <w:sz w:val="28"/>
          <w:szCs w:val="28"/>
        </w:rPr>
      </w:pPr>
      <w:r w:rsidRPr="00C35E4F">
        <w:rPr>
          <w:rFonts w:ascii="Book Antiqua" w:eastAsia="Times New Roman" w:hAnsi="Book Antiqua" w:cs="Arial"/>
          <w:b/>
          <w:sz w:val="28"/>
          <w:szCs w:val="28"/>
        </w:rPr>
        <w:lastRenderedPageBreak/>
        <w:t>DAFTAR PUSTAKA</w:t>
      </w:r>
    </w:p>
    <w:p w:rsidR="00C35E4F" w:rsidRPr="00C35E4F" w:rsidRDefault="00C35E4F" w:rsidP="00C35E4F">
      <w:pPr>
        <w:spacing w:after="0" w:line="360" w:lineRule="auto"/>
        <w:jc w:val="center"/>
        <w:rPr>
          <w:rFonts w:ascii="Book Antiqua" w:eastAsia="Times New Roman" w:hAnsi="Book Antiqua" w:cs="Arial"/>
          <w:b/>
          <w:sz w:val="28"/>
          <w:szCs w:val="28"/>
        </w:rPr>
      </w:pP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Abdullah, Amin. 1999. </w:t>
      </w:r>
      <w:r w:rsidRPr="00C35E4F">
        <w:rPr>
          <w:rFonts w:ascii="Book Antiqua" w:hAnsi="Book Antiqua" w:cs="Arial"/>
          <w:i/>
          <w:sz w:val="24"/>
          <w:szCs w:val="24"/>
        </w:rPr>
        <w:t>Studi Agama Normativitas atau Historitas</w:t>
      </w:r>
      <w:r w:rsidRPr="00C35E4F">
        <w:rPr>
          <w:rFonts w:ascii="Book Antiqua" w:hAnsi="Book Antiqua" w:cs="Arial"/>
          <w:sz w:val="24"/>
          <w:szCs w:val="24"/>
        </w:rPr>
        <w:t>. Yogyakarta. Pustaka Pelajar</w:t>
      </w:r>
    </w:p>
    <w:p w:rsidR="00FF55B2" w:rsidRPr="00C35E4F" w:rsidRDefault="00C35E4F"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w:t>
      </w:r>
      <w:r w:rsidR="00FF55B2" w:rsidRPr="00C35E4F">
        <w:rPr>
          <w:rFonts w:ascii="Book Antiqua" w:hAnsi="Book Antiqua" w:cs="Arial"/>
          <w:sz w:val="24"/>
          <w:szCs w:val="24"/>
        </w:rPr>
        <w:t xml:space="preserve">bdul Azhim, Ali. 1989. </w:t>
      </w:r>
      <w:r w:rsidR="00FF55B2" w:rsidRPr="00C35E4F">
        <w:rPr>
          <w:rFonts w:ascii="Book Antiqua" w:hAnsi="Book Antiqua" w:cs="Arial"/>
          <w:i/>
          <w:sz w:val="24"/>
          <w:szCs w:val="24"/>
        </w:rPr>
        <w:t>Epistemologi dan Aksiologi Perspektif Al-Our’an</w:t>
      </w:r>
      <w:r w:rsidR="00FF55B2" w:rsidRPr="00C35E4F">
        <w:rPr>
          <w:rFonts w:ascii="Book Antiqua" w:hAnsi="Book Antiqua" w:cs="Arial"/>
          <w:sz w:val="24"/>
          <w:szCs w:val="24"/>
        </w:rPr>
        <w:t>. Bandung. Rosdakarya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1991. </w:t>
      </w:r>
      <w:r w:rsidRPr="00C35E4F">
        <w:rPr>
          <w:rFonts w:ascii="Book Antiqua" w:hAnsi="Book Antiqua" w:cs="Arial"/>
          <w:i/>
          <w:sz w:val="24"/>
          <w:szCs w:val="24"/>
        </w:rPr>
        <w:t>Bunyah al-Aql al-Arabi</w:t>
      </w:r>
      <w:r w:rsidRPr="00C35E4F">
        <w:rPr>
          <w:rFonts w:ascii="Book Antiqua" w:hAnsi="Book Antiqua" w:cs="Arial"/>
          <w:sz w:val="24"/>
          <w:szCs w:val="24"/>
        </w:rPr>
        <w:t>. Beirut. al-Markaz al-Tsaqafi al-Arabi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2003. </w:t>
      </w:r>
      <w:r w:rsidRPr="00C35E4F">
        <w:rPr>
          <w:rFonts w:ascii="Book Antiqua" w:hAnsi="Book Antiqua" w:cs="Arial"/>
          <w:i/>
          <w:sz w:val="24"/>
          <w:szCs w:val="24"/>
        </w:rPr>
        <w:t>Kritik Kontemporer Atas Filsafat Arab-Islam</w:t>
      </w:r>
      <w:r w:rsidRPr="00C35E4F">
        <w:rPr>
          <w:rFonts w:ascii="Book Antiqua" w:hAnsi="Book Antiqua" w:cs="Arial"/>
          <w:sz w:val="24"/>
          <w:szCs w:val="24"/>
        </w:rPr>
        <w:t>. Terjemah oleh Moch Nur Ichwan. Yogyakarta. Islamika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Abed al-Jabiri, Muhammad. 2014. </w:t>
      </w:r>
      <w:r w:rsidRPr="00C35E4F">
        <w:rPr>
          <w:rFonts w:ascii="Book Antiqua" w:hAnsi="Book Antiqua" w:cs="Arial"/>
          <w:i/>
          <w:sz w:val="24"/>
          <w:szCs w:val="24"/>
        </w:rPr>
        <w:t>Takwin al-‘Aql al-Arabi</w:t>
      </w:r>
      <w:r w:rsidRPr="00C35E4F">
        <w:rPr>
          <w:rFonts w:ascii="Book Antiqua" w:hAnsi="Book Antiqua" w:cs="Arial"/>
          <w:sz w:val="24"/>
          <w:szCs w:val="24"/>
        </w:rPr>
        <w:t xml:space="preserve">. Terjemah oleh Imam Khoiri. </w:t>
      </w:r>
      <w:r w:rsidRPr="00C35E4F">
        <w:rPr>
          <w:rFonts w:ascii="Book Antiqua" w:hAnsi="Book Antiqua" w:cs="Arial"/>
          <w:i/>
          <w:sz w:val="24"/>
          <w:szCs w:val="24"/>
        </w:rPr>
        <w:t xml:space="preserve">Formasi Nalar Arab, Kritik Tradisi dan Wacana Agama. </w:t>
      </w:r>
      <w:r w:rsidRPr="00C35E4F">
        <w:rPr>
          <w:rFonts w:ascii="Book Antiqua" w:hAnsi="Book Antiqua" w:cs="Arial"/>
          <w:sz w:val="24"/>
          <w:szCs w:val="24"/>
        </w:rPr>
        <w:t>Yogyakarta. IRCisod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Abu al-Wafa al-Ghanimi, Al-Taftazani. 2003. </w:t>
      </w:r>
      <w:r w:rsidRPr="00C35E4F">
        <w:rPr>
          <w:rFonts w:ascii="Book Antiqua" w:hAnsi="Book Antiqua" w:cs="Arial"/>
          <w:i/>
          <w:sz w:val="24"/>
          <w:szCs w:val="24"/>
        </w:rPr>
        <w:t>Sufi dari Zaman ke Zaman: Suatu Pengantar tentang Tasawuf,</w:t>
      </w:r>
      <w:r w:rsidRPr="00C35E4F">
        <w:rPr>
          <w:rFonts w:ascii="Book Antiqua" w:hAnsi="Book Antiqua" w:cs="Arial"/>
          <w:sz w:val="24"/>
          <w:szCs w:val="24"/>
        </w:rPr>
        <w:t>diterjemahkan oleh Ahmad Rofi’ Utsmani dari Madkhal ila al-Tashawwuf al-Islam. Bandung. Pustaka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A.B, Shah. 1986. </w:t>
      </w:r>
      <w:r w:rsidRPr="00C35E4F">
        <w:rPr>
          <w:rFonts w:ascii="Book Antiqua" w:hAnsi="Book Antiqua" w:cs="Arial"/>
          <w:i/>
          <w:sz w:val="24"/>
          <w:szCs w:val="24"/>
        </w:rPr>
        <w:t>Scientific Method</w:t>
      </w:r>
      <w:r w:rsidRPr="00C35E4F">
        <w:rPr>
          <w:rFonts w:ascii="Book Antiqua" w:hAnsi="Book Antiqua" w:cs="Arial"/>
          <w:sz w:val="24"/>
          <w:szCs w:val="24"/>
        </w:rPr>
        <w:t>, diterjemahkan oleh Hasan Basari dengan judul:Metodologi Ilmu Pengetahuan. Jakarta. Yayasan Obor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Absori.2005. “Hukum Dan Dimensi Spiritual: Perspektif Positivis, Pospositivis dan Spiritualisme”,JurnalProfetika Studi IslamMagisterPemikiran Islam Program Pascasarjana UnivesitasMuhammadiyah Surakarta. Vol.7,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Absori. 2015.“Epistimologi Ilmu Hukum Transendental dan Implementasinya dalam Pengembangan Program Doktor Ilmu Hukum”, Makalah disampaikan pada seminar nasional dengan tema Pengembangan Epistimologi Ilmu Hukum, Program Pasca Sarjana Universitas Muhammadiyah Surakarta, 11 April.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Ahimsa Putra, Heddy Shri. 2011. “Paradigma Profetik-Mungkinkah? Perlukah?”, Makalah disampaikan dalam </w:t>
      </w:r>
      <w:r w:rsidRPr="00C35E4F">
        <w:rPr>
          <w:rFonts w:ascii="Book Antiqua" w:hAnsi="Book Antiqua" w:cs="Arial"/>
          <w:i/>
          <w:sz w:val="24"/>
          <w:szCs w:val="24"/>
        </w:rPr>
        <w:t>Sarasehan Profetik</w:t>
      </w:r>
      <w:r w:rsidRPr="00C35E4F">
        <w:rPr>
          <w:rFonts w:ascii="Book Antiqua" w:hAnsi="Book Antiqua" w:cs="Arial"/>
          <w:sz w:val="24"/>
          <w:szCs w:val="24"/>
        </w:rPr>
        <w:t>. Pascasarjana UGM, Yogyakarta, 10 Februari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1996. </w:t>
      </w:r>
      <w:r w:rsidRPr="00C35E4F">
        <w:rPr>
          <w:rFonts w:ascii="Book Antiqua" w:hAnsi="Book Antiqua" w:cs="Arial"/>
          <w:i/>
          <w:sz w:val="24"/>
          <w:szCs w:val="24"/>
        </w:rPr>
        <w:t>Ilmu dalam Perspektif Tasauf</w:t>
      </w:r>
      <w:r w:rsidRPr="00C35E4F">
        <w:rPr>
          <w:rFonts w:ascii="Book Antiqua" w:hAnsi="Book Antiqua" w:cs="Arial"/>
          <w:sz w:val="24"/>
          <w:szCs w:val="24"/>
        </w:rPr>
        <w:t>, diterjemahkan oleh Muhammad al-Baqir. Bandung. Kharisma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1997. </w:t>
      </w:r>
      <w:r w:rsidRPr="00C35E4F">
        <w:rPr>
          <w:rFonts w:ascii="Book Antiqua" w:hAnsi="Book Antiqua" w:cs="Arial"/>
          <w:i/>
          <w:sz w:val="24"/>
          <w:szCs w:val="24"/>
        </w:rPr>
        <w:t>Mutiara Ihya Ulumuddin</w:t>
      </w:r>
      <w:r w:rsidRPr="00C35E4F">
        <w:rPr>
          <w:rFonts w:ascii="Book Antiqua" w:hAnsi="Book Antiqua" w:cs="Arial"/>
          <w:sz w:val="24"/>
          <w:szCs w:val="24"/>
        </w:rPr>
        <w:t>, terjemah oleh Irwan Kurniawan dari Mukhtashar Ihya Ulumuddin.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2002. </w:t>
      </w:r>
      <w:r w:rsidRPr="00C35E4F">
        <w:rPr>
          <w:rFonts w:ascii="Book Antiqua" w:hAnsi="Book Antiqua" w:cs="Arial"/>
          <w:i/>
          <w:sz w:val="24"/>
          <w:szCs w:val="24"/>
        </w:rPr>
        <w:t>Samudera Pemikiran al-Gazali</w:t>
      </w:r>
      <w:r w:rsidRPr="00C35E4F">
        <w:rPr>
          <w:rFonts w:ascii="Book Antiqua" w:hAnsi="Book Antiqua" w:cs="Arial"/>
          <w:sz w:val="24"/>
          <w:szCs w:val="24"/>
        </w:rPr>
        <w:t>. Yogyakarta. Pustaka Sufi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al-Ghazali, Imam. 2003. </w:t>
      </w:r>
      <w:r w:rsidRPr="00C35E4F">
        <w:rPr>
          <w:rFonts w:ascii="Book Antiqua" w:hAnsi="Book Antiqua" w:cs="Arial"/>
          <w:i/>
          <w:sz w:val="24"/>
          <w:szCs w:val="24"/>
        </w:rPr>
        <w:t>Ihya’ Ulumiddin</w:t>
      </w:r>
      <w:r w:rsidRPr="00C35E4F">
        <w:rPr>
          <w:rFonts w:ascii="Book Antiqua" w:hAnsi="Book Antiqua" w:cs="Arial"/>
          <w:sz w:val="24"/>
          <w:szCs w:val="24"/>
        </w:rPr>
        <w:t>, diterjemahkan oleh Moh.Zuhri.Semarang. Asy Syifa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Algra, N.E. and Van Duyvendijk, K. 1983. </w:t>
      </w:r>
      <w:r w:rsidRPr="00C35E4F">
        <w:rPr>
          <w:rFonts w:ascii="Book Antiqua" w:hAnsi="Book Antiqua" w:cs="Arial"/>
          <w:i/>
          <w:sz w:val="24"/>
          <w:szCs w:val="24"/>
        </w:rPr>
        <w:t>Rechtanvaang</w:t>
      </w:r>
      <w:r w:rsidRPr="00C35E4F">
        <w:rPr>
          <w:rFonts w:ascii="Book Antiqua" w:hAnsi="Book Antiqua" w:cs="Arial"/>
          <w:sz w:val="24"/>
          <w:szCs w:val="24"/>
        </w:rPr>
        <w:t>, diterjemahkan oleh Simorangkir menjadi: Mula Hukum. Jakarta. Bina Cipta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Amin Hoesin, Oemar. 1975. </w:t>
      </w:r>
      <w:r w:rsidRPr="00C35E4F">
        <w:rPr>
          <w:rFonts w:ascii="Book Antiqua" w:hAnsi="Book Antiqua" w:cs="Arial"/>
          <w:i/>
          <w:sz w:val="24"/>
          <w:szCs w:val="24"/>
        </w:rPr>
        <w:t>Kultur Islam; Sejarah Perkembangan KebudayaanIslam dan Pengaruhnya dalam Dunia Internasional</w:t>
      </w:r>
      <w:r w:rsidRPr="00C35E4F">
        <w:rPr>
          <w:rFonts w:ascii="Book Antiqua" w:hAnsi="Book Antiqua" w:cs="Arial"/>
          <w:sz w:val="24"/>
          <w:szCs w:val="24"/>
        </w:rPr>
        <w:t>, diterjemahkan oleh Zainal Abidin Ahmad.Jakarta.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Amsal, Bakhtiar. 2012. </w:t>
      </w:r>
      <w:r w:rsidRPr="00C35E4F">
        <w:rPr>
          <w:rFonts w:ascii="Book Antiqua" w:hAnsi="Book Antiqua" w:cs="Arial"/>
          <w:i/>
          <w:sz w:val="24"/>
          <w:szCs w:val="24"/>
        </w:rPr>
        <w:t>Filsafat Ilmu</w:t>
      </w:r>
      <w:r w:rsidRPr="00C35E4F">
        <w:rPr>
          <w:rFonts w:ascii="Book Antiqua" w:hAnsi="Book Antiqua" w:cs="Arial"/>
          <w:sz w:val="24"/>
          <w:szCs w:val="24"/>
        </w:rPr>
        <w:t>. Jakarta. Raja GrafindoPersada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 Posner, Richard. 1990. </w:t>
      </w:r>
      <w:r w:rsidRPr="00C35E4F">
        <w:rPr>
          <w:rFonts w:ascii="Book Antiqua" w:hAnsi="Book Antiqua" w:cs="Arial"/>
          <w:i/>
          <w:sz w:val="24"/>
          <w:szCs w:val="24"/>
        </w:rPr>
        <w:t>The Problems of Jurisprudence</w:t>
      </w:r>
      <w:r w:rsidRPr="00C35E4F">
        <w:rPr>
          <w:rFonts w:ascii="Book Antiqua" w:hAnsi="Book Antiqua" w:cs="Arial"/>
          <w:sz w:val="24"/>
          <w:szCs w:val="24"/>
        </w:rPr>
        <w:t>. Cambridge. Harvard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Arief Sidharta, Bernard. 1994. “Penyelesaian Kasus”, Jurnal Pro Justitia,Tahun XII,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 xml:space="preserve">Arief Sidharta, Bernard. 1999. </w:t>
      </w:r>
      <w:r w:rsidRPr="00C35E4F">
        <w:rPr>
          <w:rFonts w:ascii="Book Antiqua" w:hAnsi="Book Antiqua" w:cs="Arial"/>
          <w:i/>
          <w:sz w:val="24"/>
          <w:szCs w:val="24"/>
        </w:rPr>
        <w:t>Refleksi tentang Struktur Ilmu Hukum, Sebuah penelitian tentang fundasi kefilsafatan dan sifat kilmuan Ilmu Hukum sebagai landasan pengembangan Ilmu Hukum Nasional Indonesia</w:t>
      </w:r>
      <w:r w:rsidRPr="00C35E4F">
        <w:rPr>
          <w:rFonts w:ascii="Book Antiqua" w:hAnsi="Book Antiqua" w:cs="Arial"/>
          <w:sz w:val="24"/>
          <w:szCs w:val="24"/>
        </w:rPr>
        <w:t>.Bandung. Mandar Maju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Sidharta, Bernard. 2000. </w:t>
      </w:r>
      <w:r w:rsidRPr="00C35E4F">
        <w:rPr>
          <w:rFonts w:ascii="Book Antiqua" w:hAnsi="Book Antiqua" w:cs="Arial"/>
          <w:i/>
          <w:sz w:val="24"/>
          <w:szCs w:val="24"/>
        </w:rPr>
        <w:t>Refleksi tentang Struktur Ilmu Hukum, Sebuah Penelitian tentang Fondasi Kefilsafatan dan Sifat Keilmuan Ilmu Hukum Sebagai Landasan Pengembanan Ilmu Hukum Nasional</w:t>
      </w:r>
      <w:r w:rsidRPr="00C35E4F">
        <w:rPr>
          <w:rFonts w:ascii="Book Antiqua" w:hAnsi="Book Antiqua" w:cs="Arial"/>
          <w:sz w:val="24"/>
          <w:szCs w:val="24"/>
        </w:rPr>
        <w:t>. Bandung. Mandar Maju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Shidarta, Bernard. 2004. </w:t>
      </w:r>
      <w:r w:rsidRPr="00C35E4F">
        <w:rPr>
          <w:rFonts w:ascii="Book Antiqua" w:hAnsi="Book Antiqua" w:cs="Arial"/>
          <w:i/>
          <w:sz w:val="24"/>
          <w:szCs w:val="24"/>
        </w:rPr>
        <w:t>Karakteristik Penalaran Hukum Dalam Konteks Keindonesiaan</w:t>
      </w:r>
      <w:r w:rsidRPr="00C35E4F">
        <w:rPr>
          <w:rFonts w:ascii="Book Antiqua" w:hAnsi="Book Antiqua" w:cs="Arial"/>
          <w:sz w:val="24"/>
          <w:szCs w:val="24"/>
        </w:rPr>
        <w:t>. Bandung. CVUtomo.</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Sidharta, Bernard. 2008. </w:t>
      </w:r>
      <w:r w:rsidRPr="00C35E4F">
        <w:rPr>
          <w:rFonts w:ascii="Book Antiqua" w:hAnsi="Book Antiqua" w:cs="Arial"/>
          <w:i/>
          <w:sz w:val="24"/>
          <w:szCs w:val="24"/>
        </w:rPr>
        <w:t>Apakah Filsafat dan Filsafat Ilmu Itu</w:t>
      </w:r>
      <w:r w:rsidRPr="00C35E4F">
        <w:rPr>
          <w:rFonts w:ascii="Book Antiqua" w:hAnsi="Book Antiqua" w:cs="Arial"/>
          <w:sz w:val="24"/>
          <w:szCs w:val="24"/>
        </w:rPr>
        <w:t>. Bandung. Pustaka Sutra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Arief Sidartha, Bernard. 2017. Seminar </w:t>
      </w:r>
      <w:r w:rsidRPr="00C35E4F">
        <w:rPr>
          <w:rFonts w:ascii="Book Antiqua" w:hAnsi="Book Antiqua" w:cs="Arial"/>
          <w:i/>
          <w:sz w:val="24"/>
          <w:szCs w:val="24"/>
        </w:rPr>
        <w:t>Transidensi Hukum; Prospek dan Implementasinya</w:t>
      </w:r>
      <w:r w:rsidRPr="00C35E4F">
        <w:rPr>
          <w:rFonts w:ascii="Book Antiqua" w:hAnsi="Book Antiqua" w:cs="Arial"/>
          <w:sz w:val="24"/>
          <w:szCs w:val="24"/>
        </w:rPr>
        <w:t xml:space="preserve">, Program Pasca Sarjana Universitas Muhammadiyah Surakarta, 26 Februari.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Asshiddiqie, Jimly dan Safa’at, M. Ali. 2006.</w:t>
      </w:r>
      <w:r w:rsidRPr="00C35E4F">
        <w:rPr>
          <w:rFonts w:ascii="Book Antiqua" w:hAnsi="Book Antiqua" w:cs="Arial"/>
          <w:i/>
          <w:sz w:val="24"/>
          <w:szCs w:val="24"/>
        </w:rPr>
        <w:t>Teori Hans Kelsen Tentang Hukum</w:t>
      </w:r>
      <w:r w:rsidRPr="00C35E4F">
        <w:rPr>
          <w:rFonts w:ascii="Book Antiqua" w:hAnsi="Book Antiqua" w:cs="Arial"/>
          <w:sz w:val="24"/>
          <w:szCs w:val="24"/>
        </w:rPr>
        <w:t>. Mahkamah Konstitusi RI. Konstitusi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Austin, John. 1995. </w:t>
      </w:r>
      <w:r w:rsidRPr="00C35E4F">
        <w:rPr>
          <w:rFonts w:ascii="Book Antiqua" w:hAnsi="Book Antiqua" w:cs="Arial"/>
          <w:i/>
          <w:sz w:val="24"/>
          <w:szCs w:val="24"/>
        </w:rPr>
        <w:t xml:space="preserve">TheProvince of Jurisprudence Determined. </w:t>
      </w:r>
      <w:r w:rsidRPr="00C35E4F">
        <w:rPr>
          <w:rFonts w:ascii="Book Antiqua" w:hAnsi="Book Antiqua" w:cs="Arial"/>
          <w:sz w:val="24"/>
          <w:szCs w:val="24"/>
        </w:rPr>
        <w:t>Cambridge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Asy’arie, Musa. 1999. </w:t>
      </w:r>
      <w:r w:rsidRPr="00C35E4F">
        <w:rPr>
          <w:rFonts w:ascii="Book Antiqua" w:hAnsi="Book Antiqua" w:cs="Arial"/>
          <w:i/>
          <w:sz w:val="24"/>
          <w:szCs w:val="24"/>
        </w:rPr>
        <w:t>Filsafat Islam tentang Kebudayaan</w:t>
      </w:r>
      <w:r w:rsidRPr="00C35E4F">
        <w:rPr>
          <w:rFonts w:ascii="Book Antiqua" w:hAnsi="Book Antiqua" w:cs="Arial"/>
          <w:sz w:val="24"/>
          <w:szCs w:val="24"/>
        </w:rPr>
        <w:t>. Yogyakarta. LESFI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Asy’arie,Musa. 2002. </w:t>
      </w:r>
      <w:r w:rsidRPr="00C35E4F">
        <w:rPr>
          <w:rFonts w:ascii="Book Antiqua" w:hAnsi="Book Antiqua" w:cs="Arial"/>
          <w:i/>
          <w:sz w:val="24"/>
          <w:szCs w:val="24"/>
        </w:rPr>
        <w:t>Filsafat Islam; Sunnah Nabi dalm Berpikir</w:t>
      </w:r>
      <w:r w:rsidRPr="00C35E4F">
        <w:rPr>
          <w:rFonts w:ascii="Book Antiqua" w:hAnsi="Book Antiqua" w:cs="Arial"/>
          <w:sz w:val="24"/>
          <w:szCs w:val="24"/>
        </w:rPr>
        <w:t>. Yoyakarta. LESFI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Asy-Syifa’. 2009.</w:t>
      </w:r>
      <w:r w:rsidRPr="00C35E4F">
        <w:rPr>
          <w:rFonts w:ascii="Book Antiqua" w:hAnsi="Book Antiqua" w:cs="Arial"/>
          <w:i/>
          <w:sz w:val="24"/>
          <w:szCs w:val="24"/>
        </w:rPr>
        <w:t>Al-Quran dan Terjemah</w:t>
      </w:r>
      <w:r w:rsidRPr="00C35E4F">
        <w:rPr>
          <w:rFonts w:ascii="Book Antiqua" w:hAnsi="Book Antiqua" w:cs="Arial"/>
          <w:sz w:val="24"/>
          <w:szCs w:val="24"/>
        </w:rPr>
        <w:t>. Bandung. Sinar Baru Algensindo</w:t>
      </w:r>
    </w:p>
    <w:p w:rsidR="00FF55B2" w:rsidRPr="00C35E4F" w:rsidRDefault="00FF55B2" w:rsidP="00FF55B2">
      <w:pPr>
        <w:spacing w:after="0" w:line="240" w:lineRule="auto"/>
        <w:jc w:val="both"/>
        <w:rPr>
          <w:rFonts w:ascii="Book Antiqua" w:hAnsi="Book Antiqua" w:cs="Arial"/>
          <w:sz w:val="24"/>
          <w:szCs w:val="24"/>
        </w:rPr>
      </w:pPr>
      <w:r w:rsidRPr="00C35E4F">
        <w:rPr>
          <w:rFonts w:ascii="Book Antiqua" w:hAnsi="Book Antiqua" w:cs="Arial"/>
          <w:sz w:val="24"/>
          <w:szCs w:val="24"/>
        </w:rPr>
        <w:t xml:space="preserve">Bakar, Osman. 1997. </w:t>
      </w:r>
      <w:r w:rsidRPr="00C35E4F">
        <w:rPr>
          <w:rFonts w:ascii="Book Antiqua" w:hAnsi="Book Antiqua" w:cs="Arial"/>
          <w:i/>
          <w:sz w:val="24"/>
          <w:szCs w:val="24"/>
        </w:rPr>
        <w:t>Hierarki Ilmu</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Bakker, Anton. et.al. 1990. </w:t>
      </w:r>
      <w:r w:rsidRPr="00C35E4F">
        <w:rPr>
          <w:rFonts w:ascii="Book Antiqua" w:hAnsi="Book Antiqua" w:cs="Arial"/>
          <w:i/>
          <w:sz w:val="24"/>
          <w:szCs w:val="24"/>
        </w:rPr>
        <w:t>Metodologi Penelitian Filsafat</w:t>
      </w:r>
      <w:r w:rsidRPr="00C35E4F">
        <w:rPr>
          <w:rFonts w:ascii="Book Antiqua" w:hAnsi="Book Antiqua" w:cs="Arial"/>
          <w:sz w:val="24"/>
          <w:szCs w:val="24"/>
        </w:rPr>
        <w:t>. Yogyakarta. 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Bamzai, Aditya. 2017. “The Origins of Judicial Deference to Executive Interpretation.” The Yale Law Journal. 126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Baqir Shadr, Muhammad. 1994. </w:t>
      </w:r>
      <w:r w:rsidRPr="00C35E4F">
        <w:rPr>
          <w:rFonts w:ascii="Book Antiqua" w:hAnsi="Book Antiqua" w:cs="Arial"/>
          <w:i/>
          <w:sz w:val="24"/>
          <w:szCs w:val="24"/>
        </w:rPr>
        <w:t>Falsafatuna</w:t>
      </w:r>
      <w:r w:rsidRPr="00C35E4F">
        <w:rPr>
          <w:rFonts w:ascii="Book Antiqua" w:hAnsi="Book Antiqua" w:cs="Arial"/>
          <w:sz w:val="24"/>
          <w:szCs w:val="24"/>
        </w:rPr>
        <w:t>, diterjemahkan oleh M. NurMufid Ali,Bandung.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Barus, Zulfadli. 2013. “Analisis Filosofis Tentang Peta Konseptual Penelitian Hukum Normatif Dan Penelitian Hukum Sosiologis.” Jurnal Dinamika Hukum, Vol.13,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Bertens, K. 1995. </w:t>
      </w:r>
      <w:r w:rsidRPr="00C35E4F">
        <w:rPr>
          <w:rFonts w:ascii="Book Antiqua" w:hAnsi="Book Antiqua" w:cs="Arial"/>
          <w:i/>
          <w:sz w:val="24"/>
          <w:szCs w:val="24"/>
        </w:rPr>
        <w:t>Ringkasan Sejarah Filsafat</w:t>
      </w:r>
      <w:r w:rsidRPr="00C35E4F">
        <w:rPr>
          <w:rFonts w:ascii="Book Antiqua" w:hAnsi="Book Antiqua" w:cs="Arial"/>
          <w:sz w:val="24"/>
          <w:szCs w:val="24"/>
        </w:rPr>
        <w:t>. Yogyakarta.Kanisius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Black,Donald. 1976. </w:t>
      </w:r>
      <w:r w:rsidRPr="00C35E4F">
        <w:rPr>
          <w:rFonts w:ascii="Book Antiqua" w:hAnsi="Book Antiqua" w:cs="Arial"/>
          <w:i/>
          <w:sz w:val="24"/>
          <w:szCs w:val="24"/>
        </w:rPr>
        <w:t>The Behavior of Law</w:t>
      </w:r>
      <w:r w:rsidRPr="00C35E4F">
        <w:rPr>
          <w:rFonts w:ascii="Book Antiqua" w:hAnsi="Book Antiqua" w:cs="Arial"/>
          <w:sz w:val="24"/>
          <w:szCs w:val="24"/>
        </w:rPr>
        <w:t>.New York. Academic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 Nachbar, Thomas. 2016. “The Rationality Of Rational Basis Review.” Virginia Law Review, Vol.102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Boy ZTF, Pradana. 2003. </w:t>
      </w:r>
      <w:r w:rsidRPr="00C35E4F">
        <w:rPr>
          <w:rFonts w:ascii="Book Antiqua" w:hAnsi="Book Antiqua" w:cs="Arial"/>
          <w:i/>
          <w:sz w:val="24"/>
          <w:szCs w:val="24"/>
        </w:rPr>
        <w:t>Filsafat Islam, Sejarah, Aliran dan Tokoh</w:t>
      </w:r>
      <w:r w:rsidRPr="00C35E4F">
        <w:rPr>
          <w:rFonts w:ascii="Book Antiqua" w:hAnsi="Book Antiqua" w:cs="Arial"/>
          <w:sz w:val="24"/>
          <w:szCs w:val="24"/>
        </w:rPr>
        <w:t>. Malang. UMM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BPUPKI. 1945.</w:t>
      </w:r>
      <w:r w:rsidRPr="00C35E4F">
        <w:rPr>
          <w:rFonts w:ascii="Book Antiqua" w:hAnsi="Book Antiqua"/>
          <w:sz w:val="24"/>
          <w:szCs w:val="24"/>
        </w:rPr>
        <w:t xml:space="preserve"> (</w:t>
      </w:r>
      <w:r w:rsidRPr="00C35E4F">
        <w:rPr>
          <w:rFonts w:ascii="Book Antiqua" w:hAnsi="Book Antiqua" w:cs="Arial"/>
          <w:sz w:val="24"/>
          <w:szCs w:val="24"/>
        </w:rPr>
        <w:t xml:space="preserve">Badan Penyelidik Usaha Persiapan Kemerdekaan Indonesia). </w:t>
      </w:r>
      <w:r w:rsidRPr="00C35E4F">
        <w:rPr>
          <w:rFonts w:ascii="Book Antiqua" w:hAnsi="Book Antiqua" w:cs="Arial"/>
          <w:i/>
          <w:sz w:val="24"/>
          <w:szCs w:val="24"/>
        </w:rPr>
        <w:t>Risalah Rapat</w:t>
      </w:r>
      <w:r w:rsidRPr="00C35E4F">
        <w:rPr>
          <w:rFonts w:ascii="Book Antiqua" w:hAnsi="Book Antiqua" w:cs="Arial"/>
          <w:sz w:val="24"/>
          <w:szCs w:val="24"/>
        </w:rPr>
        <w:t>. Tanggal 29 Mei-1 Juni di Gedung Pedjambon Kota Jakarta yang diketuai oleh Dr. K.R.T. Radjiman Wedyodiningrat.</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Brunsdon, Denise. 2015. “Recognizing Indigenous Legal Values in Modern Copyright Law.” Western Journal of Legal Studies, Vol.6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 Bobbitt, Philip. 2014. “The Age of Consent.” The Yale Law Journal. 123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Chemerinsky, Erwin and Goodwin,Michele. 2016. “Religion Is Not A Basis For Harming Others.” The Georgetown Law Journal,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Chinen, Mark. 2014. “Complexity Theory and the Horizontal and Vertical Dimensions of State Responsibility.” The European Journal of International Law, Vol.25,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C. Jackson, Vicki. 2016. “Comparative Constitutional Law. Legal Realism, And Empirical Legal Science.” Boston University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Comte,Auguste . 2009.</w:t>
      </w:r>
      <w:r w:rsidRPr="00C35E4F">
        <w:rPr>
          <w:rFonts w:ascii="Book Antiqua" w:hAnsi="Book Antiqua" w:cs="Arial"/>
          <w:i/>
          <w:sz w:val="24"/>
          <w:szCs w:val="24"/>
        </w:rPr>
        <w:t>A General View of Positivism</w:t>
      </w:r>
      <w:r w:rsidRPr="00C35E4F">
        <w:rPr>
          <w:rFonts w:ascii="Book Antiqua" w:hAnsi="Book Antiqua" w:cs="Arial"/>
          <w:sz w:val="24"/>
          <w:szCs w:val="24"/>
        </w:rPr>
        <w:t>, Trans. H.J. Bridges, Cambridge Univesity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Coser, Lewis. 1997. </w:t>
      </w:r>
      <w:r w:rsidRPr="00C35E4F">
        <w:rPr>
          <w:rFonts w:ascii="Book Antiqua" w:hAnsi="Book Antiqua" w:cs="Arial"/>
          <w:i/>
          <w:sz w:val="24"/>
          <w:szCs w:val="24"/>
        </w:rPr>
        <w:t>Master of Sociological Thought</w:t>
      </w:r>
      <w:r w:rsidRPr="00C35E4F">
        <w:rPr>
          <w:rFonts w:ascii="Book Antiqua" w:hAnsi="Book Antiqua" w:cs="Arial"/>
          <w:sz w:val="24"/>
          <w:szCs w:val="24"/>
        </w:rPr>
        <w:t>. New York. HarcourtBrace Jovanovich</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C. Yu, Milson. 2013. “Libor Integrity And Holistic Domestic Enforcement.” Cornell Law Review, Vol.98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Dagan, Hanochand Kreitner, Roy. 2011. “The Character Of Legal Theory.” Cornell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Damanhuri. 2016. </w:t>
      </w:r>
      <w:r w:rsidRPr="00C35E4F">
        <w:rPr>
          <w:rFonts w:ascii="Book Antiqua" w:hAnsi="Book Antiqua" w:cs="Arial"/>
          <w:i/>
          <w:sz w:val="24"/>
          <w:szCs w:val="24"/>
        </w:rPr>
        <w:t>Ijtihad Hermeneutis</w:t>
      </w:r>
      <w:r w:rsidRPr="00C35E4F">
        <w:rPr>
          <w:rFonts w:ascii="Book Antiqua" w:hAnsi="Book Antiqua" w:cs="Arial"/>
          <w:sz w:val="24"/>
          <w:szCs w:val="24"/>
        </w:rPr>
        <w:t>. Yogyakarta. IRCiSoD.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Danusiri. 1996. </w:t>
      </w:r>
      <w:r w:rsidRPr="00C35E4F">
        <w:rPr>
          <w:rFonts w:ascii="Book Antiqua" w:hAnsi="Book Antiqua" w:cs="Arial"/>
          <w:i/>
          <w:sz w:val="24"/>
          <w:szCs w:val="24"/>
        </w:rPr>
        <w:t>Epistemologi Tasawuf Iqbal</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 Covey. Rules, Russell. 2016. “Standards, Sentencing, And The Nature Of Law.” California Law Review,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Denros,Mukhlis. 2011.</w:t>
      </w:r>
      <w:r w:rsidRPr="00C35E4F">
        <w:rPr>
          <w:rFonts w:ascii="Book Antiqua" w:hAnsi="Book Antiqua" w:cs="Arial"/>
          <w:i/>
          <w:sz w:val="24"/>
          <w:szCs w:val="24"/>
        </w:rPr>
        <w:t>Memanusiakan Manusia</w:t>
      </w:r>
      <w:r w:rsidRPr="00C35E4F">
        <w:rPr>
          <w:rFonts w:ascii="Book Antiqua" w:hAnsi="Book Antiqua" w:cs="Arial"/>
          <w:sz w:val="24"/>
          <w:szCs w:val="24"/>
        </w:rPr>
        <w:t>. Jakarta. Qibla.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2003. </w:t>
      </w:r>
      <w:r w:rsidRPr="00C35E4F">
        <w:rPr>
          <w:rFonts w:ascii="Book Antiqua" w:hAnsi="Book Antiqua" w:cs="Arial"/>
          <w:i/>
          <w:sz w:val="24"/>
          <w:szCs w:val="24"/>
        </w:rPr>
        <w:t>Perkembangan Pemikiran Hukum di Indonesia, StudiTentangPembangunan Ilmu HukumIndonesia</w:t>
      </w:r>
      <w:r w:rsidRPr="00C35E4F">
        <w:rPr>
          <w:rFonts w:ascii="Book Antiqua" w:hAnsi="Book Antiqua" w:cs="Arial"/>
          <w:sz w:val="24"/>
          <w:szCs w:val="24"/>
        </w:rPr>
        <w:t>. DisertasiDoktor Ilmu Hukum ProgramPascasarjana Universitas Diponegoro 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2004. </w:t>
      </w:r>
      <w:r w:rsidRPr="00C35E4F">
        <w:rPr>
          <w:rFonts w:ascii="Book Antiqua" w:hAnsi="Book Antiqua" w:cs="Arial"/>
          <w:i/>
          <w:sz w:val="24"/>
          <w:szCs w:val="24"/>
        </w:rPr>
        <w:t>Teorisasi Hukum</w:t>
      </w:r>
      <w:r w:rsidRPr="00C35E4F">
        <w:rPr>
          <w:rFonts w:ascii="Book Antiqua" w:hAnsi="Book Antiqua" w:cs="Arial"/>
          <w:sz w:val="24"/>
          <w:szCs w:val="24"/>
        </w:rPr>
        <w:t>. Universitas Muhammadiyah Surakarta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2005. </w:t>
      </w:r>
      <w:r w:rsidRPr="00C35E4F">
        <w:rPr>
          <w:rFonts w:ascii="Book Antiqua" w:hAnsi="Book Antiqua" w:cs="Arial"/>
          <w:i/>
          <w:sz w:val="24"/>
          <w:szCs w:val="24"/>
        </w:rPr>
        <w:t>Teorisasi Hukum: Studi tentang PerkembanganPemikiranHukum di Indonesia 1945-1990</w:t>
      </w:r>
      <w:r w:rsidRPr="00C35E4F">
        <w:rPr>
          <w:rFonts w:ascii="Book Antiqua" w:hAnsi="Book Antiqua" w:cs="Arial"/>
          <w:sz w:val="24"/>
          <w:szCs w:val="24"/>
        </w:rPr>
        <w:t>. Surakarta. Muhammadiyah UniversityPress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Dimyati, Khudzaifah dan Wardiono, Kelik. 2007. “Pola Pemikiran Hukum Responsif; Sebuah Studi Atas Proses Pembangunan Ilmu Hukum Indonesia.” Jurnal Ilmu Hukum Universitas Muhammadiyah Surakarta, Vol.10,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Dimyati, Khudzaifah. 2014. </w:t>
      </w:r>
      <w:r w:rsidRPr="00C35E4F">
        <w:rPr>
          <w:rFonts w:ascii="Book Antiqua" w:hAnsi="Book Antiqua" w:cs="Arial"/>
          <w:i/>
          <w:sz w:val="24"/>
          <w:szCs w:val="24"/>
        </w:rPr>
        <w:t>Pemikiran Hukum; Kontruksi Epistemologis Berbasis Budaya Hukum Indonesia.</w:t>
      </w:r>
      <w:r w:rsidRPr="00C35E4F">
        <w:rPr>
          <w:rFonts w:ascii="Book Antiqua" w:hAnsi="Book Antiqua" w:cs="Arial"/>
          <w:sz w:val="24"/>
          <w:szCs w:val="24"/>
        </w:rPr>
        <w:t xml:space="preserve"> 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Dwi Putro, Widodo. 2011. </w:t>
      </w:r>
      <w:r w:rsidRPr="00C35E4F">
        <w:rPr>
          <w:rFonts w:ascii="Book Antiqua" w:hAnsi="Book Antiqua" w:cs="Arial"/>
          <w:i/>
          <w:sz w:val="24"/>
          <w:szCs w:val="24"/>
        </w:rPr>
        <w:t>Tinjauan Kritis-Filosofis Terhadap Paradigma Positivisme Hukum</w:t>
      </w:r>
      <w:r w:rsidRPr="00C35E4F">
        <w:rPr>
          <w:rFonts w:ascii="Book Antiqua" w:hAnsi="Book Antiqua" w:cs="Arial"/>
          <w:sz w:val="24"/>
          <w:szCs w:val="24"/>
        </w:rPr>
        <w:t>. Disertasi Doktor Ilmu Hukum Universitas Indonesia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Dworkin,Ronald. 2017. “Hart’s Posthumous Reply.” Harvard Law Review, Vol.130</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 Conklin, William. 2001. </w:t>
      </w:r>
      <w:r w:rsidRPr="00C35E4F">
        <w:rPr>
          <w:rFonts w:ascii="Book Antiqua" w:hAnsi="Book Antiqua" w:cs="Arial"/>
          <w:i/>
          <w:sz w:val="24"/>
          <w:szCs w:val="24"/>
        </w:rPr>
        <w:t>The Invisible Origins of Legal Positivism</w:t>
      </w:r>
      <w:r w:rsidRPr="00C35E4F">
        <w:rPr>
          <w:rFonts w:ascii="Book Antiqua" w:hAnsi="Book Antiqua" w:cs="Arial"/>
          <w:sz w:val="24"/>
          <w:szCs w:val="24"/>
        </w:rPr>
        <w:t>, Kluwer AcademicPublisher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Edward, Paul. 1990. </w:t>
      </w:r>
      <w:r w:rsidRPr="00C35E4F">
        <w:rPr>
          <w:rFonts w:ascii="Book Antiqua" w:hAnsi="Book Antiqua" w:cs="Arial"/>
          <w:i/>
          <w:sz w:val="24"/>
          <w:szCs w:val="24"/>
        </w:rPr>
        <w:t>The Encylopedia of Philosophy</w:t>
      </w:r>
      <w:r w:rsidRPr="00C35E4F">
        <w:rPr>
          <w:rFonts w:ascii="Book Antiqua" w:hAnsi="Book Antiqua" w:cs="Arial"/>
          <w:sz w:val="24"/>
          <w:szCs w:val="24"/>
        </w:rPr>
        <w:t>.New York- London. Macmilan Publishing Co. Inc. the Free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EinarHimma, Kennet. 2002. </w:t>
      </w:r>
      <w:r w:rsidRPr="00C35E4F">
        <w:rPr>
          <w:rFonts w:ascii="Book Antiqua" w:hAnsi="Book Antiqua" w:cs="Arial"/>
          <w:i/>
          <w:sz w:val="24"/>
          <w:szCs w:val="24"/>
        </w:rPr>
        <w:t>Inclusive Legal Positivism</w:t>
      </w:r>
      <w:r w:rsidRPr="00C35E4F">
        <w:rPr>
          <w:rFonts w:ascii="Book Antiqua" w:hAnsi="Book Antiqua" w:cs="Arial"/>
          <w:sz w:val="24"/>
          <w:szCs w:val="24"/>
        </w:rPr>
        <w:t>.Oxford hand Book Jurisprudence and Philosophy of Law. 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Enrlich,Eugen. 1962. </w:t>
      </w:r>
      <w:r w:rsidRPr="00C35E4F">
        <w:rPr>
          <w:rFonts w:ascii="Book Antiqua" w:hAnsi="Book Antiqua" w:cs="Arial"/>
          <w:i/>
          <w:sz w:val="24"/>
          <w:szCs w:val="24"/>
        </w:rPr>
        <w:t>Fundamental Principles of The Sociology of Law</w:t>
      </w:r>
      <w:r w:rsidRPr="00C35E4F">
        <w:rPr>
          <w:rFonts w:ascii="Book Antiqua" w:hAnsi="Book Antiqua" w:cs="Arial"/>
          <w:sz w:val="24"/>
          <w:szCs w:val="24"/>
        </w:rPr>
        <w:t>. New York. Rusell &amp; Rusell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E. Pettys, Todd. 2015. “Free Expression, In-Group Bias, and the Court’s Conservatives: A Critique of the Epstein-Parker-Segal Study.”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Esposito, J. 1995. </w:t>
      </w:r>
      <w:r w:rsidRPr="00C35E4F">
        <w:rPr>
          <w:rFonts w:ascii="Book Antiqua" w:hAnsi="Book Antiqua" w:cs="Arial"/>
          <w:i/>
          <w:sz w:val="24"/>
          <w:szCs w:val="24"/>
        </w:rPr>
        <w:t>The Oxford Encyclopedia of the Modern Islamic World</w:t>
      </w:r>
      <w:r w:rsidRPr="00C35E4F">
        <w:rPr>
          <w:rFonts w:ascii="Book Antiqua" w:hAnsi="Book Antiqua" w:cs="Arial"/>
          <w:sz w:val="24"/>
          <w:szCs w:val="24"/>
        </w:rPr>
        <w:t>. New York. 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 xml:space="preserve">Fachturahman Nur, Turiman. 2010. </w:t>
      </w:r>
      <w:r w:rsidRPr="00C35E4F">
        <w:rPr>
          <w:rFonts w:ascii="Book Antiqua" w:hAnsi="Book Antiqua" w:cs="Arial"/>
          <w:i/>
          <w:sz w:val="24"/>
          <w:szCs w:val="24"/>
        </w:rPr>
        <w:t>Memahami Hukum Progresif Prof. Satjipto Rahardjo DalamParadigma "Thawaf": SebuahKomtemplasi Bagaimana Mewujudkan Teori Hukum Yang Membumi/Grounded Theory Meng-Indonesia</w:t>
      </w:r>
      <w:r w:rsidRPr="00C35E4F">
        <w:rPr>
          <w:rFonts w:ascii="Book Antiqua" w:hAnsi="Book Antiqua" w:cs="Arial"/>
          <w:sz w:val="24"/>
          <w:szCs w:val="24"/>
        </w:rPr>
        <w:t>. Disertasi Doktor Ilmu Hukum UniversitasDiponegoro 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Firdaus, Feris. 2004. </w:t>
      </w:r>
      <w:r w:rsidRPr="00C35E4F">
        <w:rPr>
          <w:rFonts w:ascii="Book Antiqua" w:hAnsi="Book Antiqua" w:cs="Arial"/>
          <w:i/>
          <w:sz w:val="24"/>
          <w:szCs w:val="24"/>
        </w:rPr>
        <w:t>Alam Semesta; Sumber Ilmu, Hukum, dan Informasi Ketiga Setelah al-Qur’an dan al-Sunnah.</w:t>
      </w:r>
      <w:r w:rsidRPr="00C35E4F">
        <w:rPr>
          <w:rFonts w:ascii="Book Antiqua" w:hAnsi="Book Antiqua" w:cs="Arial"/>
          <w:sz w:val="24"/>
          <w:szCs w:val="24"/>
        </w:rPr>
        <w:t xml:space="preserve"> Yogyakarta. Insan Cipta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Frager, Robert. 2003. </w:t>
      </w:r>
      <w:r w:rsidRPr="00C35E4F">
        <w:rPr>
          <w:rFonts w:ascii="Book Antiqua" w:hAnsi="Book Antiqua" w:cs="Arial"/>
          <w:i/>
          <w:sz w:val="24"/>
          <w:szCs w:val="24"/>
        </w:rPr>
        <w:t>Hati, Diri, dan Jiwa: Psikologi Sufi untuk Transformasi</w:t>
      </w:r>
      <w:r w:rsidRPr="00C35E4F">
        <w:rPr>
          <w:rFonts w:ascii="Book Antiqua" w:hAnsi="Book Antiqua" w:cs="Arial"/>
          <w:sz w:val="24"/>
          <w:szCs w:val="24"/>
        </w:rPr>
        <w:t>. Jakarta. PT. Serambi Ilmu Semesta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Freeman, M.D.A. 2001.</w:t>
      </w:r>
      <w:r w:rsidRPr="00C35E4F">
        <w:rPr>
          <w:rFonts w:ascii="Book Antiqua" w:hAnsi="Book Antiqua" w:cs="Arial"/>
          <w:i/>
          <w:sz w:val="24"/>
          <w:szCs w:val="24"/>
        </w:rPr>
        <w:t>Llyod Introduction to Jurisprudence</w:t>
      </w:r>
      <w:r w:rsidRPr="00C35E4F">
        <w:rPr>
          <w:rFonts w:ascii="Book Antiqua" w:hAnsi="Book Antiqua" w:cs="Arial"/>
          <w:sz w:val="24"/>
          <w:szCs w:val="24"/>
        </w:rPr>
        <w:t>. London. Sweet Maxwell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Friedman, W. 1993. </w:t>
      </w:r>
      <w:r w:rsidRPr="00C35E4F">
        <w:rPr>
          <w:rFonts w:ascii="Book Antiqua" w:hAnsi="Book Antiqua" w:cs="Arial"/>
          <w:i/>
          <w:sz w:val="24"/>
          <w:szCs w:val="24"/>
        </w:rPr>
        <w:t>Legal Theory</w:t>
      </w:r>
      <w:r w:rsidRPr="00C35E4F">
        <w:rPr>
          <w:rFonts w:ascii="Book Antiqua" w:hAnsi="Book Antiqua" w:cs="Arial"/>
          <w:sz w:val="24"/>
          <w:szCs w:val="24"/>
        </w:rPr>
        <w:t>, diterjemahkan oleh M. Arifin, menjadi Teori dan Filsafat Hukum; Telaah Kritis tentang Teori Hukum. Jakarta. PT.Raja Grafindo 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Friedman, Lawrence. 2001. </w:t>
      </w:r>
      <w:r w:rsidRPr="00C35E4F">
        <w:rPr>
          <w:rFonts w:ascii="Book Antiqua" w:hAnsi="Book Antiqua" w:cs="Arial"/>
          <w:i/>
          <w:sz w:val="24"/>
          <w:szCs w:val="24"/>
        </w:rPr>
        <w:t>American Law an Introduction</w:t>
      </w:r>
      <w:r w:rsidRPr="00C35E4F">
        <w:rPr>
          <w:rFonts w:ascii="Book Antiqua" w:hAnsi="Book Antiqua" w:cs="Arial"/>
          <w:sz w:val="24"/>
          <w:szCs w:val="24"/>
        </w:rPr>
        <w:t xml:space="preserve">, diterjemahkan oleh Wishnu Basuki mejadi: </w:t>
      </w:r>
      <w:r w:rsidRPr="00C35E4F">
        <w:rPr>
          <w:rFonts w:ascii="Book Antiqua" w:hAnsi="Book Antiqua" w:cs="Arial"/>
          <w:i/>
          <w:sz w:val="24"/>
          <w:szCs w:val="24"/>
        </w:rPr>
        <w:t>Hukum Amerika Sebuah Pengantar</w:t>
      </w:r>
      <w:r w:rsidRPr="00C35E4F">
        <w:rPr>
          <w:rFonts w:ascii="Book Antiqua" w:hAnsi="Book Antiqua" w:cs="Arial"/>
          <w:sz w:val="24"/>
          <w:szCs w:val="24"/>
        </w:rPr>
        <w:t>. Jakarta. Tata Nusa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 Susanto, Anton. 2010. </w:t>
      </w:r>
      <w:r w:rsidRPr="00C35E4F">
        <w:rPr>
          <w:rFonts w:ascii="Book Antiqua" w:hAnsi="Book Antiqua" w:cs="Arial"/>
          <w:i/>
          <w:sz w:val="24"/>
          <w:szCs w:val="24"/>
        </w:rPr>
        <w:t>Ilmu Hukum Non-Sistematik; Fondasi Filsafat Pengembangan Ilmu Hukum Indonesia</w:t>
      </w:r>
      <w:r w:rsidRPr="00C35E4F">
        <w:rPr>
          <w:rFonts w:ascii="Book Antiqua" w:hAnsi="Book Antiqua" w:cs="Arial"/>
          <w:sz w:val="24"/>
          <w:szCs w:val="24"/>
        </w:rPr>
        <w:t>. 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Fukuyama, Francis. 1992. </w:t>
      </w:r>
      <w:r w:rsidRPr="00C35E4F">
        <w:rPr>
          <w:rFonts w:ascii="Book Antiqua" w:hAnsi="Book Antiqua" w:cs="Arial"/>
          <w:i/>
          <w:sz w:val="24"/>
          <w:szCs w:val="24"/>
        </w:rPr>
        <w:t>The End of History and The Last Man</w:t>
      </w:r>
      <w:r w:rsidRPr="00C35E4F">
        <w:rPr>
          <w:rFonts w:ascii="Book Antiqua" w:hAnsi="Book Antiqua" w:cs="Arial"/>
          <w:sz w:val="24"/>
          <w:szCs w:val="24"/>
        </w:rPr>
        <w:t>. London. Penguin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F. Wasserman, Melissa. 2015. “Deference Asymmetries: Distortions in the Evolution of Regulatory Law.” Texas Law Review, Vol.93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Gardner, James A. 1961. “The Sociological Jurisprudence of Roscoe Pound.” Villanova Law Review, Vol.7</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Hadiwijono, Harun. 1992. </w:t>
      </w:r>
      <w:r w:rsidRPr="00C35E4F">
        <w:rPr>
          <w:rFonts w:ascii="Book Antiqua" w:hAnsi="Book Antiqua" w:cs="Arial"/>
          <w:i/>
          <w:sz w:val="24"/>
          <w:szCs w:val="24"/>
        </w:rPr>
        <w:t>Sari Sejarah Filsafat Barat</w:t>
      </w:r>
      <w:r w:rsidRPr="00C35E4F">
        <w:rPr>
          <w:rFonts w:ascii="Book Antiqua" w:hAnsi="Book Antiqua" w:cs="Arial"/>
          <w:sz w:val="24"/>
          <w:szCs w:val="24"/>
        </w:rPr>
        <w:t>.Yogyakarta.Kanisius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Ha’iri Yazdi, Mehdi. 2003. </w:t>
      </w:r>
      <w:r w:rsidRPr="00C35E4F">
        <w:rPr>
          <w:rFonts w:ascii="Book Antiqua" w:hAnsi="Book Antiqua" w:cs="Arial"/>
          <w:i/>
          <w:sz w:val="24"/>
          <w:szCs w:val="24"/>
        </w:rPr>
        <w:t>Epistemologi Iluminasionis dalam Filsafat Islam: Menghadirkan Cahaya Tuhan,</w:t>
      </w:r>
      <w:r w:rsidRPr="00C35E4F">
        <w:rPr>
          <w:rFonts w:ascii="Book Antiqua" w:hAnsi="Book Antiqua" w:cs="Arial"/>
          <w:sz w:val="24"/>
          <w:szCs w:val="24"/>
        </w:rPr>
        <w:t>diterjemahkan oleh Ahsin Muhammad.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Harris, J.W. 1982. </w:t>
      </w:r>
      <w:r w:rsidRPr="00C35E4F">
        <w:rPr>
          <w:rFonts w:ascii="Book Antiqua" w:hAnsi="Book Antiqua" w:cs="Arial"/>
          <w:i/>
          <w:sz w:val="24"/>
          <w:szCs w:val="24"/>
        </w:rPr>
        <w:t>Law and Legal Science: An Inquiry into the Concepts Legal Rule and Legal System</w:t>
      </w:r>
      <w:r w:rsidRPr="00C35E4F">
        <w:rPr>
          <w:rFonts w:ascii="Book Antiqua" w:hAnsi="Book Antiqua" w:cs="Arial"/>
          <w:sz w:val="24"/>
          <w:szCs w:val="24"/>
        </w:rPr>
        <w:t>. Oxford. Clarendon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Hart, Grace E. 2015. “Methodological Stare Decisis and Intersystemic Statutory Interpretation in the Choice-of-Law Context.” The Yale Law Journal. 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Hart, H.L.A. 1958. “Positivism and The Separation of Laws and Morals.”Harvard Law Review.71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Hart, H.L.A. 1961. </w:t>
      </w:r>
      <w:r w:rsidRPr="00C35E4F">
        <w:rPr>
          <w:rFonts w:ascii="Book Antiqua" w:hAnsi="Book Antiqua" w:cs="Arial"/>
          <w:i/>
          <w:sz w:val="24"/>
          <w:szCs w:val="24"/>
        </w:rPr>
        <w:t>The Concept of Law</w:t>
      </w:r>
      <w:r w:rsidRPr="00C35E4F">
        <w:rPr>
          <w:rFonts w:ascii="Book Antiqua" w:hAnsi="Book Antiqua" w:cs="Arial"/>
          <w:sz w:val="24"/>
          <w:szCs w:val="24"/>
        </w:rPr>
        <w:t>.Oxford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Has, Abd Wafi.2013. “Ijtihad Sebagai Alat Pemecahan Masalah Umat Islam. ”Jurnal Epistemé. Vol.8,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Heise,Michael. 2015. “Lost Ground: Catholic Schools, the Future of Urban School Reform, and Empirical LegalScholarship.” Texas Law Review, Vol.93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Hershovitz, Scott. 2015. “The End of Jurisprudence.” The Yale Law Journal, No.124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 Hart, Michael. 1993. </w:t>
      </w:r>
      <w:r w:rsidRPr="00C35E4F">
        <w:rPr>
          <w:rFonts w:ascii="Book Antiqua" w:hAnsi="Book Antiqua" w:cs="Arial"/>
          <w:i/>
          <w:sz w:val="24"/>
          <w:szCs w:val="24"/>
        </w:rPr>
        <w:t>The 100 A Rangking of the Most Influential Persons in History</w:t>
      </w:r>
      <w:r w:rsidRPr="00C35E4F">
        <w:rPr>
          <w:rFonts w:ascii="Book Antiqua" w:hAnsi="Book Antiqua" w:cs="Arial"/>
          <w:sz w:val="24"/>
          <w:szCs w:val="24"/>
        </w:rPr>
        <w:t>, diterjemahkan oleh Mahbub Junaidi dengan judul: Seratus Tokoh yang Paling Berpengaruh dalam Sejarah. Jakarta. Pustaka Jaya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Hossein Nasr, Seyyed. 1995. </w:t>
      </w:r>
      <w:r w:rsidRPr="00C35E4F">
        <w:rPr>
          <w:rFonts w:ascii="Book Antiqua" w:hAnsi="Book Antiqua" w:cs="Arial"/>
          <w:i/>
          <w:sz w:val="24"/>
          <w:szCs w:val="24"/>
        </w:rPr>
        <w:t>Intelektual Islam Teologi, Filsafat dan Gnosis</w:t>
      </w:r>
      <w:r w:rsidRPr="00C35E4F">
        <w:rPr>
          <w:rFonts w:ascii="Book Antiqua" w:hAnsi="Book Antiqua" w:cs="Arial"/>
          <w:sz w:val="24"/>
          <w:szCs w:val="24"/>
        </w:rPr>
        <w:t>, diterjemahkan oleh Suharsono dan Jamaluddin. Yogyakarta. CIIS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Hossein Nasr, Seyyed dan Leaman, Oliver. 2003.</w:t>
      </w:r>
      <w:r w:rsidRPr="00C35E4F">
        <w:rPr>
          <w:rFonts w:ascii="Book Antiqua" w:hAnsi="Book Antiqua" w:cs="Arial"/>
          <w:i/>
          <w:sz w:val="24"/>
          <w:szCs w:val="24"/>
        </w:rPr>
        <w:t>Ensiklopedi Tematis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Hunt,Alan. 1978. </w:t>
      </w:r>
      <w:r w:rsidRPr="00C35E4F">
        <w:rPr>
          <w:rFonts w:ascii="Book Antiqua" w:hAnsi="Book Antiqua" w:cs="Arial"/>
          <w:i/>
          <w:sz w:val="24"/>
          <w:szCs w:val="24"/>
        </w:rPr>
        <w:t>The Sociological Movement in Law</w:t>
      </w:r>
      <w:r w:rsidRPr="00C35E4F">
        <w:rPr>
          <w:rFonts w:ascii="Book Antiqua" w:hAnsi="Book Antiqua" w:cs="Arial"/>
          <w:sz w:val="24"/>
          <w:szCs w:val="24"/>
        </w:rPr>
        <w:t>.London. Macmillan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 xml:space="preserve">Husaini, Adian. et.al. 2013. </w:t>
      </w:r>
      <w:r w:rsidRPr="00C35E4F">
        <w:rPr>
          <w:rFonts w:ascii="Book Antiqua" w:hAnsi="Book Antiqua" w:cs="Arial"/>
          <w:i/>
          <w:sz w:val="24"/>
          <w:szCs w:val="24"/>
        </w:rPr>
        <w:t>Filsafat Ilmu Perspektif Barat dan Islam</w:t>
      </w:r>
      <w:r w:rsidRPr="00C35E4F">
        <w:rPr>
          <w:rFonts w:ascii="Book Antiqua" w:hAnsi="Book Antiqua" w:cs="Arial"/>
          <w:sz w:val="24"/>
          <w:szCs w:val="24"/>
        </w:rPr>
        <w:t>. Jakarta. Gema Insani</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Ibrahim, Johnny. 2005. </w:t>
      </w:r>
      <w:r w:rsidRPr="00C35E4F">
        <w:rPr>
          <w:rFonts w:ascii="Book Antiqua" w:hAnsi="Book Antiqua" w:cs="Arial"/>
          <w:i/>
          <w:sz w:val="24"/>
          <w:szCs w:val="24"/>
        </w:rPr>
        <w:t>Teori Metode dan Penelitian Hukum Normatif</w:t>
      </w:r>
      <w:r w:rsidRPr="00C35E4F">
        <w:rPr>
          <w:rFonts w:ascii="Book Antiqua" w:hAnsi="Book Antiqua" w:cs="Arial"/>
          <w:sz w:val="24"/>
          <w:szCs w:val="24"/>
        </w:rPr>
        <w:t>.Malang. Bayu Media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Idri. 2015. </w:t>
      </w:r>
      <w:r w:rsidRPr="00C35E4F">
        <w:rPr>
          <w:rFonts w:ascii="Book Antiqua" w:hAnsi="Book Antiqua" w:cs="Arial"/>
          <w:i/>
          <w:sz w:val="24"/>
          <w:szCs w:val="24"/>
        </w:rPr>
        <w:t>Epistemologi (Ilmu Pengetahuan, Ilmu Hadis, dan Ilmu Hukum Islam)</w:t>
      </w:r>
      <w:r w:rsidRPr="00C35E4F">
        <w:rPr>
          <w:rFonts w:ascii="Book Antiqua" w:hAnsi="Book Antiqua" w:cs="Arial"/>
          <w:sz w:val="24"/>
          <w:szCs w:val="24"/>
        </w:rPr>
        <w:t>. Jakarta. Prenadamedia Group</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Ishak,Muslim. 1980. </w:t>
      </w:r>
      <w:r w:rsidRPr="00C35E4F">
        <w:rPr>
          <w:rFonts w:ascii="Book Antiqua" w:hAnsi="Book Antiqua" w:cs="Arial"/>
          <w:i/>
          <w:sz w:val="24"/>
          <w:szCs w:val="24"/>
        </w:rPr>
        <w:t>Tokoh-tokoh Filsafat Islam dan Barat (Spanyol)</w:t>
      </w:r>
      <w:r w:rsidRPr="00C35E4F">
        <w:rPr>
          <w:rFonts w:ascii="Book Antiqua" w:hAnsi="Book Antiqua" w:cs="Arial"/>
          <w:sz w:val="24"/>
          <w:szCs w:val="24"/>
        </w:rPr>
        <w:t>. Surabaya. Bina Ilmu</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Jalaluddin dan Said, Usman. 1994. </w:t>
      </w:r>
      <w:r w:rsidRPr="00C35E4F">
        <w:rPr>
          <w:rFonts w:ascii="Book Antiqua" w:hAnsi="Book Antiqua" w:cs="Arial"/>
          <w:i/>
          <w:sz w:val="24"/>
          <w:szCs w:val="24"/>
        </w:rPr>
        <w:t>Filsafat Pendidikan Islam, Konsep dan Perkembangan Pemikirannya</w:t>
      </w:r>
      <w:r w:rsidRPr="00C35E4F">
        <w:rPr>
          <w:rFonts w:ascii="Book Antiqua" w:hAnsi="Book Antiqua" w:cs="Arial"/>
          <w:sz w:val="24"/>
          <w:szCs w:val="24"/>
        </w:rPr>
        <w:t>. Jakarta. Raja Grafindo Persada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Jehle, Greg. 2016. “Innovation, Arbitrage, and Ethics: The Role of Lawyers in the Development of a New Transnational Islamic Finance Law.” The Georgetown Law Journal, Vol.104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 Casey, Anthony. 2015. “A Simple Theory Of Complex Valuation”, Michigan Law Review, Vol.113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J. Erickson,Rosemary andJ. Simon, Rita. 1998. </w:t>
      </w:r>
      <w:r w:rsidRPr="00C35E4F">
        <w:rPr>
          <w:rFonts w:ascii="Book Antiqua" w:hAnsi="Book Antiqua" w:cs="Arial"/>
          <w:i/>
          <w:sz w:val="24"/>
          <w:szCs w:val="24"/>
        </w:rPr>
        <w:t>The Use of Social Science Data in Supreme CourtDecisions</w:t>
      </w:r>
      <w:r w:rsidRPr="00C35E4F">
        <w:rPr>
          <w:rFonts w:ascii="Book Antiqua" w:hAnsi="Book Antiqua" w:cs="Arial"/>
          <w:sz w:val="24"/>
          <w:szCs w:val="24"/>
        </w:rPr>
        <w:t>.University of Illinois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J. Heytens, Toby. 2012. “The Framework(S) Of Legal Change.” Cornell Law Review, Vol.97</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2002. </w:t>
      </w:r>
      <w:r w:rsidRPr="00C35E4F">
        <w:rPr>
          <w:rFonts w:ascii="Book Antiqua" w:hAnsi="Book Antiqua" w:cs="Arial"/>
          <w:i/>
          <w:sz w:val="24"/>
          <w:szCs w:val="24"/>
        </w:rPr>
        <w:t>Panorama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 2002. </w:t>
      </w:r>
      <w:r w:rsidRPr="00C35E4F">
        <w:rPr>
          <w:rFonts w:ascii="Book Antiqua" w:hAnsi="Book Antiqua" w:cs="Arial"/>
          <w:i/>
          <w:sz w:val="24"/>
          <w:szCs w:val="24"/>
        </w:rPr>
        <w:t>Menembus Batas Waktu; Panorama Filsafat Islam</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Kartanegara,Mulyadi . 2005. </w:t>
      </w:r>
      <w:r w:rsidRPr="00C35E4F">
        <w:rPr>
          <w:rFonts w:ascii="Book Antiqua" w:hAnsi="Book Antiqua" w:cs="Arial"/>
          <w:i/>
          <w:sz w:val="24"/>
          <w:szCs w:val="24"/>
        </w:rPr>
        <w:t>Integrasi Ilmu, Sebuah Rekonstruksi Holistic</w:t>
      </w:r>
      <w:r w:rsidRPr="00C35E4F">
        <w:rPr>
          <w:rFonts w:ascii="Book Antiqua" w:hAnsi="Book Antiqua" w:cs="Arial"/>
          <w:sz w:val="24"/>
          <w:szCs w:val="24"/>
        </w:rPr>
        <w:t>. Jakarta UIN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Kelinger, Fred N. 2004. </w:t>
      </w:r>
      <w:r w:rsidRPr="00C35E4F">
        <w:rPr>
          <w:rFonts w:ascii="Book Antiqua" w:hAnsi="Book Antiqua" w:cs="Arial"/>
          <w:i/>
          <w:sz w:val="24"/>
          <w:szCs w:val="24"/>
        </w:rPr>
        <w:t>Asas-asas Penelitian Behavioral</w:t>
      </w:r>
      <w:r w:rsidRPr="00C35E4F">
        <w:rPr>
          <w:rFonts w:ascii="Book Antiqua" w:hAnsi="Book Antiqua" w:cs="Arial"/>
          <w:sz w:val="24"/>
          <w:szCs w:val="24"/>
        </w:rPr>
        <w:t>. Yogyakarta. Gajah Mada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1961. </w:t>
      </w:r>
      <w:r w:rsidRPr="00C35E4F">
        <w:rPr>
          <w:rFonts w:ascii="Book Antiqua" w:hAnsi="Book Antiqua" w:cs="Arial"/>
          <w:i/>
          <w:sz w:val="24"/>
          <w:szCs w:val="24"/>
        </w:rPr>
        <w:t>General Theory of Law on State</w:t>
      </w:r>
      <w:r w:rsidRPr="00C35E4F">
        <w:rPr>
          <w:rFonts w:ascii="Book Antiqua" w:hAnsi="Book Antiqua" w:cs="Arial"/>
          <w:sz w:val="24"/>
          <w:szCs w:val="24"/>
        </w:rPr>
        <w:t>, translated by Anders Wedberg. New York. Russell &amp; Russell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1976. </w:t>
      </w:r>
      <w:r w:rsidRPr="00C35E4F">
        <w:rPr>
          <w:rFonts w:ascii="Book Antiqua" w:hAnsi="Book Antiqua" w:cs="Arial"/>
          <w:i/>
          <w:sz w:val="24"/>
          <w:szCs w:val="24"/>
        </w:rPr>
        <w:t>The Pure Theory of Law</w:t>
      </w:r>
      <w:r w:rsidRPr="00C35E4F">
        <w:rPr>
          <w:rFonts w:ascii="Book Antiqua" w:hAnsi="Book Antiqua" w:cs="Arial"/>
          <w:sz w:val="24"/>
          <w:szCs w:val="24"/>
        </w:rPr>
        <w:t>, translated by Max Knight. University of CaliforniaPress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Kelsen, Hans. 1985. </w:t>
      </w:r>
      <w:r w:rsidRPr="00C35E4F">
        <w:rPr>
          <w:rFonts w:ascii="Book Antiqua" w:hAnsi="Book Antiqua" w:cs="Arial"/>
          <w:i/>
          <w:sz w:val="24"/>
          <w:szCs w:val="24"/>
        </w:rPr>
        <w:t>The Pure Theory of Law</w:t>
      </w:r>
      <w:r w:rsidRPr="00C35E4F">
        <w:rPr>
          <w:rFonts w:ascii="Book Antiqua" w:hAnsi="Book Antiqua" w:cs="Arial"/>
          <w:sz w:val="24"/>
          <w:szCs w:val="24"/>
        </w:rPr>
        <w:t>.Lloyd of Hampstead and Freeman.Llyod’sIntroduction to Jurisprudence.London. Steven&amp;Sons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Kharis Zubair, Ahmad. 1992. Filsafat Islam. Yogyakarta. Lembaga Studi Filsafat Islam</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Khotimah,Khusnul. 2014. “Paradigma Dan Konsep Ilmu Pengetahuan Dalam Al-Qur`An.” Jurnal Episteme, Vol.9,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Khudori Soleh, Achmad. 2004.</w:t>
      </w:r>
      <w:r w:rsidRPr="00C35E4F">
        <w:rPr>
          <w:rFonts w:ascii="Book Antiqua" w:hAnsi="Book Antiqua" w:cs="Arial"/>
          <w:i/>
          <w:sz w:val="24"/>
          <w:szCs w:val="24"/>
        </w:rPr>
        <w:t>Wacana Baru Filsafat Islam</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Kneller, George F. 1968. </w:t>
      </w:r>
      <w:r w:rsidRPr="00C35E4F">
        <w:rPr>
          <w:rFonts w:ascii="Book Antiqua" w:hAnsi="Book Antiqua" w:cs="Arial"/>
          <w:i/>
          <w:sz w:val="24"/>
          <w:szCs w:val="24"/>
        </w:rPr>
        <w:t>Introduktion to the Philosophy of Education</w:t>
      </w:r>
      <w:r w:rsidRPr="00C35E4F">
        <w:rPr>
          <w:rFonts w:ascii="Book Antiqua" w:hAnsi="Book Antiqua" w:cs="Arial"/>
          <w:sz w:val="24"/>
          <w:szCs w:val="24"/>
        </w:rPr>
        <w:t>. New York. John Wiley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Koesnoe, M. Ahimsa Putra, Heddy Shri. Abdullah, Amin. Thontowi,Jawahir. Syamsudin, Sutiyoso, Bambang, </w:t>
      </w:r>
      <w:r w:rsidRPr="00C35E4F">
        <w:rPr>
          <w:rFonts w:ascii="Book Antiqua" w:hAnsi="Book Antiqua" w:cs="Arial"/>
          <w:i/>
          <w:sz w:val="24"/>
          <w:szCs w:val="24"/>
        </w:rPr>
        <w:t>Ilmu Hukum Profetik. Gagasan Awal, Landasan Kefilsafatan dan Kemungkinan Pengembangannya di Era Postmodern</w:t>
      </w:r>
      <w:r w:rsidRPr="00C35E4F">
        <w:rPr>
          <w:rFonts w:ascii="Book Antiqua" w:hAnsi="Book Antiqua" w:cs="Arial"/>
          <w:sz w:val="24"/>
          <w:szCs w:val="24"/>
        </w:rPr>
        <w:t>. Yogyakarta. Pusat Studi Hukum (PSH) dan FH UII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Kuntowijoyo. 1997. </w:t>
      </w:r>
      <w:r w:rsidRPr="00C35E4F">
        <w:rPr>
          <w:rFonts w:ascii="Book Antiqua" w:hAnsi="Book Antiqua" w:cs="Arial"/>
          <w:i/>
          <w:sz w:val="24"/>
          <w:szCs w:val="24"/>
        </w:rPr>
        <w:t>Identitas Politik UmatIslam.</w:t>
      </w:r>
      <w:r w:rsidRPr="00C35E4F">
        <w:rPr>
          <w:rFonts w:ascii="Book Antiqua" w:hAnsi="Book Antiqua" w:cs="Arial"/>
          <w:sz w:val="24"/>
          <w:szCs w:val="24"/>
        </w:rPr>
        <w:t>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Kusumohamidjojo, Budiono. 2004. </w:t>
      </w:r>
      <w:r w:rsidRPr="00C35E4F">
        <w:rPr>
          <w:rFonts w:ascii="Book Antiqua" w:hAnsi="Book Antiqua" w:cs="Arial"/>
          <w:i/>
          <w:sz w:val="24"/>
          <w:szCs w:val="24"/>
        </w:rPr>
        <w:t>Filsafat Hukum Problematik Ketertiban yang Adil</w:t>
      </w:r>
      <w:r w:rsidRPr="00C35E4F">
        <w:rPr>
          <w:rFonts w:ascii="Book Antiqua" w:hAnsi="Book Antiqua" w:cs="Arial"/>
          <w:sz w:val="24"/>
          <w:szCs w:val="24"/>
        </w:rPr>
        <w:t>. Jakarta. Grasindo</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 xml:space="preserve">Latif, Yudi. 2002. </w:t>
      </w:r>
      <w:r w:rsidRPr="00C35E4F">
        <w:rPr>
          <w:rFonts w:ascii="Book Antiqua" w:hAnsi="Book Antiqua" w:cs="Arial"/>
          <w:i/>
          <w:sz w:val="24"/>
          <w:szCs w:val="24"/>
        </w:rPr>
        <w:t>Negara Paripurna: Historisitas, Rasionalitas dan Aktualisasi Pancasila</w:t>
      </w:r>
      <w:r w:rsidRPr="00C35E4F">
        <w:rPr>
          <w:rFonts w:ascii="Book Antiqua" w:hAnsi="Book Antiqua" w:cs="Arial"/>
          <w:sz w:val="24"/>
          <w:szCs w:val="24"/>
        </w:rPr>
        <w:t>. Jakarta. Gramedia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Lawson, Gary. 2016. “Reflections Of An Empirical Reader (Or: Could Fleming Be Right This Time).” Boston University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Leitter, Brian. 2005. </w:t>
      </w:r>
      <w:r w:rsidRPr="00C35E4F">
        <w:rPr>
          <w:rFonts w:ascii="Book Antiqua" w:hAnsi="Book Antiqua" w:cs="Arial"/>
          <w:i/>
          <w:sz w:val="24"/>
          <w:szCs w:val="24"/>
        </w:rPr>
        <w:t>American Legal Realism, Philosophy of Law and Legal Theory</w:t>
      </w:r>
      <w:r w:rsidRPr="00C35E4F">
        <w:rPr>
          <w:rFonts w:ascii="Book Antiqua" w:hAnsi="Book Antiqua" w:cs="Arial"/>
          <w:sz w:val="24"/>
          <w:szCs w:val="24"/>
        </w:rPr>
        <w:t xml:space="preserve"> dalam Martin P. Golding dan William A. Edmundson.The Blackwell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Lewellyn, Karl. 1950. “</w:t>
      </w:r>
      <w:r w:rsidRPr="00C35E4F">
        <w:rPr>
          <w:rFonts w:ascii="Book Antiqua" w:hAnsi="Book Antiqua" w:cs="Arial"/>
          <w:i/>
          <w:sz w:val="24"/>
          <w:szCs w:val="24"/>
        </w:rPr>
        <w:t>Remarks on the Theory of Appelate Decision and The Rules and Cannons aboutHow Statutes are to be Constructed</w:t>
      </w:r>
      <w:r w:rsidRPr="00C35E4F">
        <w:rPr>
          <w:rFonts w:ascii="Book Antiqua" w:hAnsi="Book Antiqua" w:cs="Arial"/>
          <w:sz w:val="24"/>
          <w:szCs w:val="24"/>
        </w:rPr>
        <w:t>.”Vanderbilt Law Review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Lewellyn, Karl. 1962. </w:t>
      </w:r>
      <w:r w:rsidRPr="00C35E4F">
        <w:rPr>
          <w:rFonts w:ascii="Book Antiqua" w:hAnsi="Book Antiqua" w:cs="Arial"/>
          <w:i/>
          <w:sz w:val="24"/>
          <w:szCs w:val="24"/>
        </w:rPr>
        <w:t>Jurisprudence: Realism ini Theory and Practice</w:t>
      </w:r>
      <w:r w:rsidRPr="00C35E4F">
        <w:rPr>
          <w:rFonts w:ascii="Book Antiqua" w:hAnsi="Book Antiqua" w:cs="Arial"/>
          <w:sz w:val="24"/>
          <w:szCs w:val="24"/>
        </w:rPr>
        <w:t>. Chicago. University of ChicagoPress.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Lindman, Constance R. 1989. “Source of Judicial Distrust of Social Science Evidence: A Comparison ofSocial Science and Jurisprudence.”Indiana Law Journal.64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 Boyd, Christina. 2015. “In Defense Of Empirical Legal Studies.”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Lloyd,Dennis. 1973. </w:t>
      </w:r>
      <w:r w:rsidRPr="00C35E4F">
        <w:rPr>
          <w:rFonts w:ascii="Book Antiqua" w:hAnsi="Book Antiqua" w:cs="Arial"/>
          <w:i/>
          <w:sz w:val="24"/>
          <w:szCs w:val="24"/>
        </w:rPr>
        <w:t>The Idea of Law</w:t>
      </w:r>
      <w:r w:rsidRPr="00C35E4F">
        <w:rPr>
          <w:rFonts w:ascii="Book Antiqua" w:hAnsi="Book Antiqua" w:cs="Arial"/>
          <w:sz w:val="24"/>
          <w:szCs w:val="24"/>
        </w:rPr>
        <w:t>. London. Penguin Books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 Paulson, Stanley. 1992. </w:t>
      </w:r>
      <w:r w:rsidRPr="00C35E4F">
        <w:rPr>
          <w:rFonts w:ascii="Book Antiqua" w:hAnsi="Book Antiqua" w:cs="Arial"/>
          <w:i/>
          <w:sz w:val="24"/>
          <w:szCs w:val="24"/>
        </w:rPr>
        <w:t>On Kelsen’s Place in Jurispruden, Intruduction to Hans Kelsen, Introduction to the Problems of Legal Theory: A Translation of the First Edition of the Reine Rechtslehre or Pure Theory of Law</w:t>
      </w:r>
      <w:r w:rsidRPr="00C35E4F">
        <w:rPr>
          <w:rFonts w:ascii="Book Antiqua" w:hAnsi="Book Antiqua" w:cs="Arial"/>
          <w:sz w:val="24"/>
          <w:szCs w:val="24"/>
        </w:rPr>
        <w:t>, translated by Bonnie Litschewski Paulson. Oxford.Clarendon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L. Tanya, Bernard. 2000. </w:t>
      </w:r>
      <w:r w:rsidRPr="00C35E4F">
        <w:rPr>
          <w:rFonts w:ascii="Book Antiqua" w:hAnsi="Book Antiqua" w:cs="Arial"/>
          <w:i/>
          <w:sz w:val="24"/>
          <w:szCs w:val="24"/>
        </w:rPr>
        <w:t>Beban Budaya Lokal Menghadapi Hukum Negara: Analisis Budaya atasKesulitan Sosio-Kultural Orang Sabu Menghadapi Regulasi Negara</w:t>
      </w:r>
      <w:r w:rsidRPr="00C35E4F">
        <w:rPr>
          <w:rFonts w:ascii="Book Antiqua" w:hAnsi="Book Antiqua" w:cs="Arial"/>
          <w:sz w:val="24"/>
          <w:szCs w:val="24"/>
        </w:rPr>
        <w:t>. Disertasi Program Doktor Ilmu Hukum Universitas DiponegoroSemarang.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Luliano, Jason. 2014. “Jury Voting Paradoxes.” Michigan Law Review, Vol.113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Mach, Ernst. 2000. </w:t>
      </w:r>
      <w:r w:rsidRPr="00C35E4F">
        <w:rPr>
          <w:rFonts w:ascii="Book Antiqua" w:hAnsi="Book Antiqua" w:cs="Arial"/>
          <w:i/>
          <w:sz w:val="24"/>
          <w:szCs w:val="24"/>
        </w:rPr>
        <w:t>Contributions To The Analysis Of The Sensations</w:t>
      </w:r>
      <w:r w:rsidRPr="00C35E4F">
        <w:rPr>
          <w:rFonts w:ascii="Book Antiqua" w:hAnsi="Book Antiqua" w:cs="Arial"/>
          <w:sz w:val="24"/>
          <w:szCs w:val="24"/>
        </w:rPr>
        <w:t>. Open Court PublishingCompany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Madjid, Nurcholish. 1992. </w:t>
      </w:r>
      <w:r w:rsidRPr="00C35E4F">
        <w:rPr>
          <w:rFonts w:ascii="Book Antiqua" w:hAnsi="Book Antiqua" w:cs="Arial"/>
          <w:i/>
          <w:sz w:val="24"/>
          <w:szCs w:val="24"/>
        </w:rPr>
        <w:t>Islam Kemodernan dan KeIndonesiaan</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Mahdi,Muhsin. 1992. “Al-Farabi dan Fondasi Filsafat Islam. ”</w:t>
      </w:r>
      <w:r w:rsidRPr="00C35E4F">
        <w:rPr>
          <w:rFonts w:ascii="Book Antiqua" w:hAnsi="Book Antiqua" w:cs="Arial"/>
          <w:i/>
          <w:sz w:val="24"/>
          <w:szCs w:val="24"/>
        </w:rPr>
        <w:t>Jurnal al-Hikmah</w:t>
      </w:r>
      <w:r w:rsidRPr="00C35E4F">
        <w:rPr>
          <w:rFonts w:ascii="Book Antiqua" w:hAnsi="Book Antiqua" w:cs="Arial"/>
          <w:sz w:val="24"/>
          <w:szCs w:val="24"/>
        </w:rPr>
        <w:t>, Edisi. 04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Mangabeira Unger, Roberto. 1986. </w:t>
      </w:r>
      <w:r w:rsidRPr="00C35E4F">
        <w:rPr>
          <w:rFonts w:ascii="Book Antiqua" w:hAnsi="Book Antiqua" w:cs="Arial"/>
          <w:i/>
          <w:sz w:val="24"/>
          <w:szCs w:val="24"/>
        </w:rPr>
        <w:t>The Critical Legal Studies Movement.</w:t>
      </w:r>
      <w:r w:rsidRPr="00C35E4F">
        <w:rPr>
          <w:rFonts w:ascii="Book Antiqua" w:hAnsi="Book Antiqua" w:cs="Arial"/>
          <w:sz w:val="24"/>
          <w:szCs w:val="24"/>
        </w:rPr>
        <w:t>Cambridge. HarvardUniversity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Manning, John F. 2010. “Second-Generation Textualism.” California Law Review, Vol.98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March, James G. 1956. “Sociological Jurisprudence Revisited, A Review (More or Less) of Max Gluckman.” Stanford Law Review, Vol.8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Marmor, Andrei. 2002. </w:t>
      </w:r>
      <w:r w:rsidRPr="00C35E4F">
        <w:rPr>
          <w:rFonts w:ascii="Book Antiqua" w:hAnsi="Book Antiqua" w:cs="Arial"/>
          <w:i/>
          <w:sz w:val="24"/>
          <w:szCs w:val="24"/>
        </w:rPr>
        <w:t>Exclusive Legal Positivism</w:t>
      </w:r>
      <w:r w:rsidRPr="00C35E4F">
        <w:rPr>
          <w:rFonts w:ascii="Book Antiqua" w:hAnsi="Book Antiqua" w:cs="Arial"/>
          <w:sz w:val="24"/>
          <w:szCs w:val="24"/>
        </w:rPr>
        <w:t>,TheOxford Hand Book of Jurisprudence and Philosophy of Law. Oxford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Mautner, Menachem. 2011. “Three Approaches To Law And Culture.” Cornell Law Review, Vol.96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 Chlistunoff, Marta. 2016. “Expert Testimony and the Quest for Reliability: The Case for a Methodology Questionnaire.” Texas Law Review, Vol.94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Mckinley Brennan, Patrick. 2013. “The Liberty Of The Church: Source, Scope And Scandal.”Journal ContempLegal Issues, Vol.21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 Hadjon, Philipus danSri Djatmaji, Tatiek. 2005. </w:t>
      </w:r>
      <w:r w:rsidRPr="00C35E4F">
        <w:rPr>
          <w:rFonts w:ascii="Book Antiqua" w:hAnsi="Book Antiqua" w:cs="Arial"/>
          <w:i/>
          <w:sz w:val="24"/>
          <w:szCs w:val="24"/>
        </w:rPr>
        <w:t>Argumentasi Hukum</w:t>
      </w:r>
      <w:r w:rsidRPr="00C35E4F">
        <w:rPr>
          <w:rFonts w:ascii="Book Antiqua" w:hAnsi="Book Antiqua" w:cs="Arial"/>
          <w:sz w:val="24"/>
          <w:szCs w:val="24"/>
        </w:rPr>
        <w:t xml:space="preserve">. Yogyakarta. Gajah Mada University Press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M. Hagle, Timothy. 2015. “Two Worlds, Neither Perfect: A Comment on the Tension Between Legal and Empirical Studies.” Buffalo Law Review, Vol.63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More Parvis, Wedge. 1981. </w:t>
      </w:r>
      <w:r w:rsidRPr="00C35E4F">
        <w:rPr>
          <w:rFonts w:ascii="Book Antiqua" w:hAnsi="Book Antiqua" w:cs="Arial"/>
          <w:i/>
          <w:sz w:val="24"/>
          <w:szCs w:val="24"/>
        </w:rPr>
        <w:t>Islamic Philosophy and Mysticism</w:t>
      </w:r>
      <w:r w:rsidRPr="00C35E4F">
        <w:rPr>
          <w:rFonts w:ascii="Book Antiqua" w:hAnsi="Book Antiqua" w:cs="Arial"/>
          <w:sz w:val="24"/>
          <w:szCs w:val="24"/>
        </w:rPr>
        <w:t>. New York. Caravan Books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Muhammad Amin, Miska. 1983. </w:t>
      </w:r>
      <w:r w:rsidRPr="00C35E4F">
        <w:rPr>
          <w:rFonts w:ascii="Book Antiqua" w:hAnsi="Book Antiqua" w:cs="Arial"/>
          <w:i/>
          <w:sz w:val="24"/>
          <w:szCs w:val="24"/>
        </w:rPr>
        <w:t>Epistemologi Islam: Pengantar Filsafat Pengetahuan Islam</w:t>
      </w:r>
      <w:r w:rsidRPr="00C35E4F">
        <w:rPr>
          <w:rFonts w:ascii="Book Antiqua" w:hAnsi="Book Antiqua" w:cs="Arial"/>
          <w:sz w:val="24"/>
          <w:szCs w:val="24"/>
        </w:rPr>
        <w:t>. Jakarta. UI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Muslehuddin, M. 1986. </w:t>
      </w:r>
      <w:r w:rsidRPr="00C35E4F">
        <w:rPr>
          <w:rFonts w:ascii="Book Antiqua" w:hAnsi="Book Antiqua" w:cs="Arial"/>
          <w:i/>
          <w:sz w:val="24"/>
          <w:szCs w:val="24"/>
        </w:rPr>
        <w:t>Philosophy oJ Islamic Law And The Orientalist</w:t>
      </w:r>
      <w:r w:rsidRPr="00C35E4F">
        <w:rPr>
          <w:rFonts w:ascii="Book Antiqua" w:hAnsi="Book Antiqua" w:cs="Arial"/>
          <w:sz w:val="24"/>
          <w:szCs w:val="24"/>
        </w:rPr>
        <w:t>. New Delhi. Taj Company</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Muslehuddin, M. 1991. </w:t>
      </w:r>
      <w:r w:rsidRPr="00C35E4F">
        <w:rPr>
          <w:rFonts w:ascii="Book Antiqua" w:hAnsi="Book Antiqua" w:cs="Arial"/>
          <w:i/>
          <w:sz w:val="24"/>
          <w:szCs w:val="24"/>
        </w:rPr>
        <w:t>Filsafat Hukum Islam dan Pemikiran Orientalis;Studi Perbandingan Sistem Hukum Islam</w:t>
      </w:r>
      <w:r w:rsidRPr="00C35E4F">
        <w:rPr>
          <w:rFonts w:ascii="Book Antiqua" w:hAnsi="Book Antiqua" w:cs="Arial"/>
          <w:sz w:val="24"/>
          <w:szCs w:val="24"/>
        </w:rPr>
        <w:t>, diterjemahkan olehYudian Wahyudi Asmin.Yogyakarta.Tiara Wacana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1987. </w:t>
      </w:r>
      <w:r w:rsidRPr="00C35E4F">
        <w:rPr>
          <w:rFonts w:ascii="Book Antiqua" w:hAnsi="Book Antiqua" w:cs="Arial"/>
          <w:i/>
          <w:sz w:val="24"/>
          <w:szCs w:val="24"/>
        </w:rPr>
        <w:t xml:space="preserve">Konsep Pendidikan dalam Islam: Suatu Kerangka Pikir Pembinaan Filsafat Pendidikan Islam. </w:t>
      </w:r>
      <w:r w:rsidRPr="00C35E4F">
        <w:rPr>
          <w:rFonts w:ascii="Book Antiqua" w:hAnsi="Book Antiqua" w:cs="Arial"/>
          <w:sz w:val="24"/>
          <w:szCs w:val="24"/>
        </w:rPr>
        <w:t>Terjemah</w:t>
      </w:r>
      <w:r w:rsidRPr="00C35E4F">
        <w:rPr>
          <w:rFonts w:ascii="Book Antiqua" w:hAnsi="Book Antiqua" w:cs="Arial"/>
          <w:i/>
          <w:sz w:val="24"/>
          <w:szCs w:val="24"/>
        </w:rPr>
        <w:t xml:space="preserve">. </w:t>
      </w:r>
      <w:r w:rsidRPr="00C35E4F">
        <w:rPr>
          <w:rFonts w:ascii="Book Antiqua" w:hAnsi="Book Antiqua" w:cs="Arial"/>
          <w:sz w:val="24"/>
          <w:szCs w:val="24"/>
        </w:rPr>
        <w:t>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2001. </w:t>
      </w:r>
      <w:r w:rsidRPr="00C35E4F">
        <w:rPr>
          <w:rFonts w:ascii="Book Antiqua" w:hAnsi="Book Antiqua" w:cs="Arial"/>
          <w:i/>
          <w:sz w:val="24"/>
          <w:szCs w:val="24"/>
        </w:rPr>
        <w:t>Risalah untuk Kaum Muslimin</w:t>
      </w:r>
      <w:r w:rsidRPr="00C35E4F">
        <w:rPr>
          <w:rFonts w:ascii="Book Antiqua" w:hAnsi="Book Antiqua" w:cs="Arial"/>
          <w:sz w:val="24"/>
          <w:szCs w:val="24"/>
        </w:rPr>
        <w:t>. Kuala Lumpur. ISTAC</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Naquib al-Attas, Syed Muhammad. 2001. </w:t>
      </w:r>
      <w:r w:rsidRPr="00C35E4F">
        <w:rPr>
          <w:rFonts w:ascii="Book Antiqua" w:hAnsi="Book Antiqua" w:cs="Arial"/>
          <w:i/>
          <w:sz w:val="24"/>
          <w:szCs w:val="24"/>
        </w:rPr>
        <w:t>Prolegomena to the Metaphysics of Islam: An Exposition of the Fundamental Elements of the Worldview of Islam</w:t>
      </w:r>
      <w:r w:rsidRPr="00C35E4F">
        <w:rPr>
          <w:rFonts w:ascii="Book Antiqua" w:hAnsi="Book Antiqua" w:cs="Arial"/>
          <w:sz w:val="24"/>
          <w:szCs w:val="24"/>
        </w:rPr>
        <w:t>. Kuala Lumpur. Internasional Institut of Islamic Thought and Civilization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Nasution, Harun. 1962. </w:t>
      </w:r>
      <w:r w:rsidRPr="00C35E4F">
        <w:rPr>
          <w:rFonts w:ascii="Book Antiqua" w:hAnsi="Book Antiqua" w:cs="Arial"/>
          <w:i/>
          <w:sz w:val="24"/>
          <w:szCs w:val="24"/>
        </w:rPr>
        <w:t>Falsafat dan Mistisisme</w:t>
      </w:r>
      <w:r w:rsidRPr="00C35E4F">
        <w:rPr>
          <w:rFonts w:ascii="Book Antiqua" w:hAnsi="Book Antiqua" w:cs="Arial"/>
          <w:sz w:val="24"/>
          <w:szCs w:val="24"/>
        </w:rPr>
        <w:t>. 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Nasution, Harun. 1986. </w:t>
      </w:r>
      <w:r w:rsidRPr="00C35E4F">
        <w:rPr>
          <w:rFonts w:ascii="Book Antiqua" w:hAnsi="Book Antiqua" w:cs="Arial"/>
          <w:i/>
          <w:sz w:val="24"/>
          <w:szCs w:val="24"/>
        </w:rPr>
        <w:t>Islam Ditinjau dari Berbagai Aspeknya</w:t>
      </w:r>
      <w:r w:rsidRPr="00C35E4F">
        <w:rPr>
          <w:rFonts w:ascii="Book Antiqua" w:hAnsi="Book Antiqua" w:cs="Arial"/>
          <w:sz w:val="24"/>
          <w:szCs w:val="24"/>
        </w:rPr>
        <w:t>. Jakarta. UI-Press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Nathan Cardozo, Benyamin. 1949. </w:t>
      </w:r>
      <w:r w:rsidRPr="00C35E4F">
        <w:rPr>
          <w:rFonts w:ascii="Book Antiqua" w:hAnsi="Book Antiqua" w:cs="Arial"/>
          <w:i/>
          <w:sz w:val="24"/>
          <w:szCs w:val="24"/>
        </w:rPr>
        <w:t>The Nature of The Judicial Process</w:t>
      </w:r>
      <w:r w:rsidRPr="00C35E4F">
        <w:rPr>
          <w:rFonts w:ascii="Book Antiqua" w:hAnsi="Book Antiqua" w:cs="Arial"/>
          <w:sz w:val="24"/>
          <w:szCs w:val="24"/>
        </w:rPr>
        <w:t>. New Haven.Yale University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Newland, Erica. 2015. “Executive Orders in Court”, the Yale Law Journal, Vol.124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Nicoletti, Cynthia. 2016. “Writing The Social History Of Legal Doctrine.” Buffalo Law Review, Vol.64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Pasquale, Frank&amp; Cashwell, Glyn. 2015. “Four Futures of Legal Automation”, UCLA Law Review Discourse, No.26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Peurson, Van. 1985. </w:t>
      </w:r>
      <w:r w:rsidRPr="00C35E4F">
        <w:rPr>
          <w:rFonts w:ascii="Book Antiqua" w:hAnsi="Book Antiqua" w:cs="Arial"/>
          <w:i/>
          <w:sz w:val="24"/>
          <w:szCs w:val="24"/>
        </w:rPr>
        <w:t>De Ovbouw van de Wetenschap een inleiding in de Wetenschapsleer</w:t>
      </w:r>
      <w:r w:rsidRPr="00C35E4F">
        <w:rPr>
          <w:rFonts w:ascii="Book Antiqua" w:hAnsi="Book Antiqua" w:cs="Arial"/>
          <w:sz w:val="24"/>
          <w:szCs w:val="24"/>
        </w:rPr>
        <w:t>,diterjemahkan oleh J.Drost dengan judul: Susunan Ilmu Pengetahuan: Sebuah Pengantar FilsafatIlmu. Jakarta. Gramedia</w:t>
      </w:r>
    </w:p>
    <w:p w:rsidR="00FF55B2" w:rsidRPr="00C35E4F" w:rsidRDefault="00FF55B2" w:rsidP="00FF55B2">
      <w:pPr>
        <w:spacing w:after="0" w:line="240" w:lineRule="auto"/>
        <w:ind w:left="851" w:hanging="851"/>
        <w:jc w:val="both"/>
        <w:rPr>
          <w:rFonts w:ascii="Book Antiqua" w:hAnsi="Book Antiqua" w:cs="Arial"/>
          <w:sz w:val="24"/>
          <w:szCs w:val="24"/>
        </w:rPr>
      </w:pP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 Frickey, Philip. 2005. “Getting from Joe to Gene (Mc. Carthy): The Avoidance Canon, Legal Process Theory, and Narrowing Statutory Interpretation in the Early Warren Court.” California Law Review, Vol.93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Pontier, J.A. 1995. </w:t>
      </w:r>
      <w:r w:rsidRPr="00C35E4F">
        <w:rPr>
          <w:rFonts w:ascii="Book Antiqua" w:hAnsi="Book Antiqua" w:cs="Arial"/>
          <w:i/>
          <w:sz w:val="24"/>
          <w:szCs w:val="24"/>
        </w:rPr>
        <w:t>Rechtsvinding, Ars Aeuqui Libri, Nijmegen</w:t>
      </w:r>
      <w:r w:rsidRPr="00C35E4F">
        <w:rPr>
          <w:rFonts w:ascii="Book Antiqua" w:hAnsi="Book Antiqua" w:cs="Arial"/>
          <w:sz w:val="24"/>
          <w:szCs w:val="24"/>
        </w:rPr>
        <w:t xml:space="preserve">,diterjemahkan oleh Bernard AriefSidharta.2001, </w:t>
      </w:r>
      <w:r w:rsidRPr="00C35E4F">
        <w:rPr>
          <w:rFonts w:ascii="Book Antiqua" w:hAnsi="Book Antiqua" w:cs="Arial"/>
          <w:i/>
          <w:sz w:val="24"/>
          <w:szCs w:val="24"/>
        </w:rPr>
        <w:t>Penemuan Hukum</w:t>
      </w:r>
      <w:r w:rsidRPr="00C35E4F">
        <w:rPr>
          <w:rFonts w:ascii="Book Antiqua" w:hAnsi="Book Antiqua" w:cs="Arial"/>
          <w:sz w:val="24"/>
          <w:szCs w:val="24"/>
        </w:rPr>
        <w:t>. Fakultas Hukum Universitas Katolik Parahyangan. Bandung.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Prakken, Henry and Sartor, Giovanni. “Modelling Reasoning with Precedents in a Formal Dialogue Game.” Artificial Intelligence and Law. 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Prasetyo, Teguh dan Barkatulah, Abdul Hakim. 2007. </w:t>
      </w:r>
      <w:r w:rsidRPr="00C35E4F">
        <w:rPr>
          <w:rFonts w:ascii="Book Antiqua" w:hAnsi="Book Antiqua" w:cs="Arial"/>
          <w:i/>
          <w:sz w:val="24"/>
          <w:szCs w:val="24"/>
        </w:rPr>
        <w:t>Ilmu Hukum dan Filsahat Hukum</w:t>
      </w:r>
      <w:r w:rsidRPr="00C35E4F">
        <w:rPr>
          <w:rFonts w:ascii="Book Antiqua" w:hAnsi="Book Antiqua" w:cs="Arial"/>
          <w:sz w:val="24"/>
          <w:szCs w:val="24"/>
        </w:rPr>
        <w:t>.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Prasetyo,Yogi. 2017. “Adab sebagai Politik Hukum Islam.” Jurnal Tsaqafah Unida Gontor, Vol.13,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Primus, Eve Brensike. 2015. “The Future Of Confession Law: Toward Rules For The Voluntariness Test.” Michigan Law Review, Vol.114</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Pusat Bahasa-Departemen Pendidikan Nasional. 2012. Kamus Besar Bahasa Indonesia,Jakarta. Gramedia Pustaka Utama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Quraish Shihab, M. 1997. </w:t>
      </w:r>
      <w:r w:rsidRPr="00C35E4F">
        <w:rPr>
          <w:rFonts w:ascii="Book Antiqua" w:hAnsi="Book Antiqua" w:cs="Arial"/>
          <w:i/>
          <w:sz w:val="24"/>
          <w:szCs w:val="24"/>
        </w:rPr>
        <w:t>Membumikan al-Qur’an</w:t>
      </w:r>
      <w:r w:rsidRPr="00C35E4F">
        <w:rPr>
          <w:rFonts w:ascii="Book Antiqua" w:hAnsi="Book Antiqua" w:cs="Arial"/>
          <w:sz w:val="24"/>
          <w:szCs w:val="24"/>
        </w:rPr>
        <w:t>. Bandung. Mizan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Rahardjo, Satjipto. 1983. </w:t>
      </w:r>
      <w:r w:rsidRPr="00C35E4F">
        <w:rPr>
          <w:rFonts w:ascii="Book Antiqua" w:hAnsi="Book Antiqua" w:cs="Arial"/>
          <w:i/>
          <w:sz w:val="24"/>
          <w:szCs w:val="24"/>
        </w:rPr>
        <w:t>Beberapa Catatan Mengenai Pengembangan Konsep dan KerangkaTeoretik Hukum</w:t>
      </w:r>
      <w:r w:rsidRPr="00C35E4F">
        <w:rPr>
          <w:rFonts w:ascii="Book Antiqua" w:hAnsi="Book Antiqua" w:cs="Arial"/>
          <w:sz w:val="24"/>
          <w:szCs w:val="24"/>
        </w:rPr>
        <w:t>, Masalah-Masalah Hukum. Jurnal Fakultas Hukum UniversitasDiponegoro Semarang, No.6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Rahman, Fazlur. 1989.</w:t>
      </w:r>
      <w:r w:rsidRPr="00C35E4F">
        <w:rPr>
          <w:rFonts w:ascii="Book Antiqua" w:hAnsi="Book Antiqua" w:cs="Arial"/>
          <w:i/>
          <w:sz w:val="24"/>
          <w:szCs w:val="24"/>
        </w:rPr>
        <w:t>Al-Quran Sumber Ilmu Pengetahuan</w:t>
      </w:r>
      <w:r w:rsidRPr="00C35E4F">
        <w:rPr>
          <w:rFonts w:ascii="Book Antiqua" w:hAnsi="Book Antiqua" w:cs="Arial"/>
          <w:sz w:val="24"/>
          <w:szCs w:val="24"/>
        </w:rPr>
        <w:t>, diterjemahkan oleh M. Arifin. Jakarta. Bina Aksara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Rahman, Fazlur. 2000. </w:t>
      </w:r>
      <w:r w:rsidRPr="00C35E4F">
        <w:rPr>
          <w:rFonts w:ascii="Book Antiqua" w:hAnsi="Book Antiqua" w:cs="Arial"/>
          <w:i/>
          <w:sz w:val="24"/>
          <w:szCs w:val="24"/>
        </w:rPr>
        <w:t>Filsafat Shadra</w:t>
      </w:r>
      <w:r w:rsidRPr="00C35E4F">
        <w:rPr>
          <w:rFonts w:ascii="Book Antiqua" w:hAnsi="Book Antiqua" w:cs="Arial"/>
          <w:sz w:val="24"/>
          <w:szCs w:val="24"/>
        </w:rPr>
        <w:t>. Bandung. Pustaka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Revesz, Joshua. 2016. “Ideological Imbalance and the Peremptory Challenge.” The Yale Law Journal, Vol.125.</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Reyes, René. 2016. “The Mixed Blessings Of (Non-) Establishment.” Albany Law Review,Vol. 80,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Rifai, Edy. 2010. “Peran Hakim Dalam Penemuan Hukum dan Menciptakan Hukum Pada EraReformasi.” Jurnal Ilmu Hukum Praevia Fakultas Hukum UNILA, Vol.4,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Rommen, Heinrich A. 1998. </w:t>
      </w:r>
      <w:r w:rsidRPr="00C35E4F">
        <w:rPr>
          <w:rFonts w:ascii="Book Antiqua" w:hAnsi="Book Antiqua" w:cs="Arial"/>
          <w:i/>
          <w:sz w:val="24"/>
          <w:szCs w:val="24"/>
        </w:rPr>
        <w:t>Natural Law A Study in Legal and Social History and Philosophy</w:t>
      </w:r>
      <w:r w:rsidRPr="00C35E4F">
        <w:rPr>
          <w:rFonts w:ascii="Book Antiqua" w:hAnsi="Book Antiqua" w:cs="Arial"/>
          <w:sz w:val="24"/>
          <w:szCs w:val="24"/>
        </w:rPr>
        <w:t>, Trans. Thomas Hanley. Liberty Fund</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Rompis, Tonny. 2015. “Kajian Sosiologi Hukum Tentang Menurunnya Kepercayaan Masyarakat Terhadap Hukum Dan Aparat Penegak Hukum Di Sulawesi Utara.” Jurnal Lex Crimen Vol.iv, No.8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Rozah, Umi. 2014. “Problematika Penerapan Logika Positivistik Dalam Penegakan Hukum Pidana Terhadap Tuntutan Keadilan Substantif.” Jurnal Hukum MMH, Jilid. 43,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Russel, Betrand. 2002. </w:t>
      </w:r>
      <w:r w:rsidRPr="00C35E4F">
        <w:rPr>
          <w:rFonts w:ascii="Book Antiqua" w:hAnsi="Book Antiqua" w:cs="Arial"/>
          <w:i/>
          <w:sz w:val="24"/>
          <w:szCs w:val="24"/>
        </w:rPr>
        <w:t>Sejarah Filsafat Barat dan Kaitannya dengan Kondisi Sosial-Politik Zaman Kuno hingga Sekarang</w:t>
      </w:r>
      <w:r w:rsidRPr="00C35E4F">
        <w:rPr>
          <w:rFonts w:ascii="Book Antiqua" w:hAnsi="Book Antiqua" w:cs="Arial"/>
          <w:sz w:val="24"/>
          <w:szCs w:val="24"/>
        </w:rPr>
        <w:t>, diterjemahkan oleh Sigit Jatmiko.Yogyakarta.Pustaka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Ryandi. 2014, “Konsep Hati Menurut al-Hakim al-Tirmidzi.” Jurnal Kalimah, Vol.12,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Salam, Burhanuddin. 2003.</w:t>
      </w:r>
      <w:r w:rsidRPr="00C35E4F">
        <w:rPr>
          <w:rFonts w:ascii="Book Antiqua" w:hAnsi="Book Antiqua" w:cs="Arial"/>
          <w:i/>
          <w:sz w:val="24"/>
          <w:szCs w:val="24"/>
        </w:rPr>
        <w:t>Pengantar Filsafat</w:t>
      </w:r>
      <w:r w:rsidRPr="00C35E4F">
        <w:rPr>
          <w:rFonts w:ascii="Book Antiqua" w:hAnsi="Book Antiqua" w:cs="Arial"/>
          <w:sz w:val="24"/>
          <w:szCs w:val="24"/>
        </w:rPr>
        <w:t>.Yogyakarta. Bumi Aksara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Samekto, FX. Adji. 2012. “Menggugat Relasi Filsafat Positivisme Dengan Ajaran Hukum Doktrinal.” Jurnal Dinamika Hukum, Vol.12,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Santos, Boaventura de Sousa. 1995. </w:t>
      </w:r>
      <w:r w:rsidRPr="00C35E4F">
        <w:rPr>
          <w:rFonts w:ascii="Book Antiqua" w:hAnsi="Book Antiqua" w:cs="Arial"/>
          <w:i/>
          <w:sz w:val="24"/>
          <w:szCs w:val="24"/>
        </w:rPr>
        <w:t>Toward a New Common Sense: Law, Science, and Politics in TheParadigmatic Transition</w:t>
      </w:r>
      <w:r w:rsidRPr="00C35E4F">
        <w:rPr>
          <w:rFonts w:ascii="Book Antiqua" w:hAnsi="Book Antiqua" w:cs="Arial"/>
          <w:sz w:val="24"/>
          <w:szCs w:val="24"/>
        </w:rPr>
        <w:t>. London. Routledge</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Sardar, Ziauddin. 2000. </w:t>
      </w:r>
      <w:r w:rsidRPr="00C35E4F">
        <w:rPr>
          <w:rFonts w:ascii="Book Antiqua" w:hAnsi="Book Antiqua" w:cs="Arial"/>
          <w:i/>
          <w:sz w:val="24"/>
          <w:szCs w:val="24"/>
        </w:rPr>
        <w:t>Merombak Pola Pikir Intelektual Muslim</w:t>
      </w:r>
      <w:r w:rsidRPr="00C35E4F">
        <w:rPr>
          <w:rFonts w:ascii="Book Antiqua" w:hAnsi="Book Antiqua" w:cs="Arial"/>
          <w:sz w:val="24"/>
          <w:szCs w:val="24"/>
        </w:rPr>
        <w:t>, diterjemahkan oleh Agung Prihantoro &amp; Fuad A.F. Yogyakarta. Pustaka Pelajar</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Sarmadi, A. Sukris. 2012. “Membebaskan Positivisme Hukum Keranah Hukum Progresif (Studi Pembacaan Teks Hukum Bagi Penegak Hukum)”, Jurnal Dinamika Hukum, Vol.12, 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Schauer,Frederick andSpellman, Barbara A. 2017. “Calibrating Legal Judgments.” Journal of Legal Analysis, Vol.9, No.1</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Schuyt, C.J.M. 1971. </w:t>
      </w:r>
      <w:r w:rsidRPr="00C35E4F">
        <w:rPr>
          <w:rFonts w:ascii="Book Antiqua" w:hAnsi="Book Antiqua" w:cs="Arial"/>
          <w:i/>
          <w:sz w:val="24"/>
          <w:szCs w:val="24"/>
        </w:rPr>
        <w:t>Rechtssociologie een terreinverkening</w:t>
      </w:r>
      <w:r w:rsidRPr="00C35E4F">
        <w:rPr>
          <w:rFonts w:ascii="Book Antiqua" w:hAnsi="Book Antiqua" w:cs="Arial"/>
          <w:sz w:val="24"/>
          <w:szCs w:val="24"/>
        </w:rPr>
        <w:t>. Rotterdam Universitaire Pers.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S. Johnson, Alvin. 1994.</w:t>
      </w:r>
      <w:r w:rsidRPr="00C35E4F">
        <w:rPr>
          <w:rFonts w:ascii="Book Antiqua" w:hAnsi="Book Antiqua" w:cs="Arial"/>
          <w:i/>
          <w:sz w:val="24"/>
          <w:szCs w:val="24"/>
        </w:rPr>
        <w:t>Sociology of Law</w:t>
      </w:r>
      <w:r w:rsidRPr="00C35E4F">
        <w:rPr>
          <w:rFonts w:ascii="Book Antiqua" w:hAnsi="Book Antiqua" w:cs="Arial"/>
          <w:sz w:val="24"/>
          <w:szCs w:val="24"/>
        </w:rPr>
        <w:t>, diterjemahkan oleh Rinaldi Simamora, Jakarta. Rineka Cipta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lastRenderedPageBreak/>
        <w:t xml:space="preserve">Soekanto,Soerjono. 1986. </w:t>
      </w:r>
      <w:r w:rsidRPr="00C35E4F">
        <w:rPr>
          <w:rFonts w:ascii="Book Antiqua" w:hAnsi="Book Antiqua" w:cs="Arial"/>
          <w:i/>
          <w:sz w:val="24"/>
          <w:szCs w:val="24"/>
        </w:rPr>
        <w:t>Pengantar Penelitian Hukum</w:t>
      </w:r>
      <w:r w:rsidRPr="00C35E4F">
        <w:rPr>
          <w:rFonts w:ascii="Book Antiqua" w:hAnsi="Book Antiqua" w:cs="Arial"/>
          <w:sz w:val="24"/>
          <w:szCs w:val="24"/>
        </w:rPr>
        <w:t>. Jakarta. Universitas Indonesia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Supanto. 2011. </w:t>
      </w:r>
      <w:r w:rsidRPr="00C35E4F">
        <w:rPr>
          <w:rFonts w:ascii="Book Antiqua" w:hAnsi="Book Antiqua" w:cs="Arial"/>
          <w:i/>
          <w:sz w:val="24"/>
          <w:szCs w:val="24"/>
        </w:rPr>
        <w:t>Meranap Pesan Langit Dalam Persemaian Sabana Hukum Bersspiritual-Transendental</w:t>
      </w:r>
      <w:r w:rsidRPr="00C35E4F">
        <w:rPr>
          <w:rFonts w:ascii="Book Antiqua" w:hAnsi="Book Antiqua" w:cs="Arial"/>
          <w:sz w:val="24"/>
          <w:szCs w:val="24"/>
        </w:rPr>
        <w:t>, Pidato Pengukuhan Guru Besar Hukum pidana Fakultas Hukum Universitas Sebelas Maret Surakarta, 30 Maret</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Suriasumantri, Jujun. 2007. </w:t>
      </w:r>
      <w:r w:rsidRPr="00C35E4F">
        <w:rPr>
          <w:rFonts w:ascii="Book Antiqua" w:hAnsi="Book Antiqua" w:cs="Arial"/>
          <w:i/>
          <w:sz w:val="24"/>
          <w:szCs w:val="24"/>
        </w:rPr>
        <w:t>Filsafat Ilmu; Sebuah Pengantar Populer</w:t>
      </w:r>
      <w:r w:rsidRPr="00C35E4F">
        <w:rPr>
          <w:rFonts w:ascii="Book Antiqua" w:hAnsi="Book Antiqua" w:cs="Arial"/>
          <w:sz w:val="24"/>
          <w:szCs w:val="24"/>
        </w:rPr>
        <w:t>.Jakarta. Pustaka Sinar Harapan</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Syafi`ie,Imam. 2000. </w:t>
      </w:r>
      <w:r w:rsidRPr="00C35E4F">
        <w:rPr>
          <w:rFonts w:ascii="Book Antiqua" w:hAnsi="Book Antiqua" w:cs="Arial"/>
          <w:i/>
          <w:sz w:val="24"/>
          <w:szCs w:val="24"/>
        </w:rPr>
        <w:t>Konsep Ilmu Pengetahuan dalam al-Qur`an</w:t>
      </w:r>
      <w:r w:rsidRPr="00C35E4F">
        <w:rPr>
          <w:rFonts w:ascii="Book Antiqua" w:hAnsi="Book Antiqua" w:cs="Arial"/>
          <w:sz w:val="24"/>
          <w:szCs w:val="24"/>
        </w:rPr>
        <w:t>. Yogyakarta. UII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Talmon, Stefan. 2015. “Determining Customary International Law: The ICJ’s Methodology between Induction, Deduction and Assertion.”The European Journal of International Law Vol.26,No.2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Thantowi, Jawahir. 2012. “Paradigma Profetik Dalam Pengajaran dan Penelitian Ilmu Hukum.” Jurnal Unisia, Vol. XXXIV, No.76</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Titus, Harold H.et. al. 1984.</w:t>
      </w:r>
      <w:r w:rsidRPr="00C35E4F">
        <w:rPr>
          <w:rFonts w:ascii="Book Antiqua" w:hAnsi="Book Antiqua" w:cs="Arial"/>
          <w:i/>
          <w:sz w:val="24"/>
          <w:szCs w:val="24"/>
        </w:rPr>
        <w:t>The Living Issues of Philosophy</w:t>
      </w:r>
      <w:r w:rsidRPr="00C35E4F">
        <w:rPr>
          <w:rFonts w:ascii="Book Antiqua" w:hAnsi="Book Antiqua" w:cs="Arial"/>
          <w:sz w:val="24"/>
          <w:szCs w:val="24"/>
        </w:rPr>
        <w:t>, diterjemahkan olehH.M.Rasyidi dengan judul: Persoalan-Persoalan Filsafat.Jakarta. Bulan Bintang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Tutt,Andrew.2014. “A Fragment On Legal Innovation”, Buffalo Law Review, Vol.62</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Vandevelde, Kenneth J. 1996. </w:t>
      </w:r>
      <w:r w:rsidRPr="00C35E4F">
        <w:rPr>
          <w:rFonts w:ascii="Book Antiqua" w:hAnsi="Book Antiqua" w:cs="Arial"/>
          <w:i/>
          <w:sz w:val="24"/>
          <w:szCs w:val="24"/>
        </w:rPr>
        <w:t>Thinking Like A Lawyer: An Introduction to Legal Reasoning</w:t>
      </w:r>
      <w:r w:rsidRPr="00C35E4F">
        <w:rPr>
          <w:rFonts w:ascii="Book Antiqua" w:hAnsi="Book Antiqua" w:cs="Arial"/>
          <w:sz w:val="24"/>
          <w:szCs w:val="24"/>
        </w:rPr>
        <w:t>. Colorado. Westview Press</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Verhaak, C. 1991 dan Imam, R. Haryono.1991.</w:t>
      </w:r>
      <w:r w:rsidRPr="00C35E4F">
        <w:rPr>
          <w:rFonts w:ascii="Book Antiqua" w:hAnsi="Book Antiqua" w:cs="Arial"/>
          <w:i/>
          <w:sz w:val="24"/>
          <w:szCs w:val="24"/>
        </w:rPr>
        <w:t>Filsafat Ilmu Pengetahuan: Telaah Atas Cara Kerja Ilmu-Ilmu</w:t>
      </w:r>
      <w:r w:rsidRPr="00C35E4F">
        <w:rPr>
          <w:rFonts w:ascii="Book Antiqua" w:hAnsi="Book Antiqua" w:cs="Arial"/>
          <w:sz w:val="24"/>
          <w:szCs w:val="24"/>
        </w:rPr>
        <w:t>.Jakarta.Gramedia Pustaka Utama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Von Wiittgenstein, Ludwing. 1972. </w:t>
      </w:r>
      <w:r w:rsidRPr="00C35E4F">
        <w:rPr>
          <w:rFonts w:ascii="Book Antiqua" w:hAnsi="Book Antiqua" w:cs="Arial"/>
          <w:i/>
          <w:sz w:val="24"/>
          <w:szCs w:val="24"/>
        </w:rPr>
        <w:t>Tractatus Logico Philosophicus</w:t>
      </w:r>
      <w:r w:rsidRPr="00C35E4F">
        <w:rPr>
          <w:rFonts w:ascii="Book Antiqua" w:hAnsi="Book Antiqua" w:cs="Arial"/>
          <w:sz w:val="24"/>
          <w:szCs w:val="24"/>
        </w:rPr>
        <w:t>. London. Routledge &amp; Kegan Paul</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Wardiono, Kelik dan Dimyati, Khudzaifah. 2015. “Basis Epistemologi Paradigma Rasional Dalam Ilmu Hukum: Sebuah Diskripsi Tentang Asumsi Dasar Teori Hukum Murni Hans Kelsen. ”Jurnal Dinamika Hukum, Vol.14,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Wardiono, Kelik. 2016. </w:t>
      </w:r>
      <w:r w:rsidRPr="00C35E4F">
        <w:rPr>
          <w:rFonts w:ascii="Book Antiqua" w:hAnsi="Book Antiqua" w:cs="Arial"/>
          <w:i/>
          <w:sz w:val="24"/>
          <w:szCs w:val="24"/>
        </w:rPr>
        <w:t xml:space="preserve">Paradigma Profetik (Pembaruan Basis Epistemologi Ilmu hukum). </w:t>
      </w:r>
      <w:r w:rsidRPr="00C35E4F">
        <w:rPr>
          <w:rFonts w:ascii="Book Antiqua" w:hAnsi="Book Antiqua" w:cs="Arial"/>
          <w:sz w:val="24"/>
          <w:szCs w:val="24"/>
        </w:rPr>
        <w:t>DisertasiDoktor Ilmu Hukum Universitas Muhammadiyah Surakarta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Wardiono, Kelik. 2016. </w:t>
      </w:r>
      <w:r w:rsidRPr="00C35E4F">
        <w:rPr>
          <w:rFonts w:ascii="Book Antiqua" w:hAnsi="Book Antiqua" w:cs="Arial"/>
          <w:i/>
          <w:sz w:val="24"/>
          <w:szCs w:val="24"/>
        </w:rPr>
        <w:t xml:space="preserve">Paradigma Profetik (Pembaruan Basis Epistemologi Ilmu hukum). </w:t>
      </w:r>
      <w:r w:rsidRPr="00C35E4F">
        <w:rPr>
          <w:rFonts w:ascii="Book Antiqua" w:hAnsi="Book Antiqua" w:cs="Arial"/>
          <w:sz w:val="24"/>
          <w:szCs w:val="24"/>
        </w:rPr>
        <w:t>Yogyakarta. Genta Publishing</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Wesseland Jan Wouters, Ramses A. 2014. “When Structures Become Shackles: Stagnation and Dynamics in International Lawmaking.”The European Journal of International Law, Vol.25, No.3</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W. Gordon, Robert. 1908. “Some Final Observations On Legal Intellectual History.” Buffalo Roscoe Pound. Mechanical Jurisprudence.Colombia Law Review, No.8</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Wignjosoebroto, Soetandyo. 2002. </w:t>
      </w:r>
      <w:r w:rsidRPr="00C35E4F">
        <w:rPr>
          <w:rFonts w:ascii="Book Antiqua" w:hAnsi="Book Antiqua" w:cs="Arial"/>
          <w:i/>
          <w:sz w:val="24"/>
          <w:szCs w:val="24"/>
        </w:rPr>
        <w:t>Hukum; Paradigma, Metode dan Masalah</w:t>
      </w:r>
      <w:r w:rsidRPr="00C35E4F">
        <w:rPr>
          <w:rFonts w:ascii="Book Antiqua" w:hAnsi="Book Antiqua" w:cs="Arial"/>
          <w:sz w:val="24"/>
          <w:szCs w:val="24"/>
        </w:rPr>
        <w:t>, ELSAM dan HUMA</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 xml:space="preserve">Winata, Frans H. 2003. “Pencapaian Supremasi Hukum yang Beretika dan Bermoral.”Jurnal Pro Justitia, Vol. XX, No.1  </w:t>
      </w:r>
    </w:p>
    <w:p w:rsidR="00FF55B2" w:rsidRPr="00C35E4F" w:rsidRDefault="00FF55B2" w:rsidP="00FF55B2">
      <w:pPr>
        <w:spacing w:after="0" w:line="240" w:lineRule="auto"/>
        <w:ind w:left="851" w:hanging="851"/>
        <w:jc w:val="both"/>
        <w:rPr>
          <w:rFonts w:ascii="Book Antiqua" w:hAnsi="Book Antiqua" w:cs="Arial"/>
          <w:sz w:val="24"/>
          <w:szCs w:val="24"/>
        </w:rPr>
      </w:pPr>
      <w:r w:rsidRPr="00C35E4F">
        <w:rPr>
          <w:rFonts w:ascii="Book Antiqua" w:hAnsi="Book Antiqua" w:cs="Arial"/>
          <w:sz w:val="24"/>
          <w:szCs w:val="24"/>
        </w:rPr>
        <w:t>Zafer, M.R. 1984.</w:t>
      </w:r>
      <w:r w:rsidRPr="00C35E4F">
        <w:rPr>
          <w:rFonts w:ascii="Book Antiqua" w:hAnsi="Book Antiqua" w:cs="Arial"/>
          <w:i/>
          <w:sz w:val="24"/>
          <w:szCs w:val="24"/>
        </w:rPr>
        <w:t>Jurisprudence an Outline</w:t>
      </w:r>
      <w:r w:rsidRPr="00C35E4F">
        <w:rPr>
          <w:rFonts w:ascii="Book Antiqua" w:hAnsi="Book Antiqua" w:cs="Arial"/>
          <w:sz w:val="24"/>
          <w:szCs w:val="24"/>
        </w:rPr>
        <w:t>. Kuala Lumpur. International Law Book Services</w:t>
      </w:r>
    </w:p>
    <w:p w:rsidR="00FF55B2" w:rsidRPr="00C35E4F" w:rsidRDefault="00FF55B2" w:rsidP="00FF55B2">
      <w:pPr>
        <w:spacing w:after="0" w:line="240" w:lineRule="auto"/>
        <w:jc w:val="both"/>
        <w:rPr>
          <w:rFonts w:ascii="Book Antiqua" w:hAnsi="Book Antiqua" w:cs="Arial"/>
          <w:sz w:val="24"/>
          <w:szCs w:val="24"/>
        </w:rPr>
      </w:pPr>
      <w:r w:rsidRPr="00C35E4F">
        <w:rPr>
          <w:rFonts w:ascii="Book Antiqua" w:hAnsi="Book Antiqua" w:cs="Arial"/>
          <w:sz w:val="24"/>
          <w:szCs w:val="24"/>
        </w:rPr>
        <w:t>Zainuddin, M. 2006.</w:t>
      </w:r>
      <w:r w:rsidRPr="00C35E4F">
        <w:rPr>
          <w:rFonts w:ascii="Book Antiqua" w:hAnsi="Book Antiqua" w:cs="Arial"/>
          <w:i/>
          <w:sz w:val="24"/>
          <w:szCs w:val="24"/>
        </w:rPr>
        <w:t>Filsafat Ilmu Perspektif Pemikiran Islam</w:t>
      </w:r>
      <w:r w:rsidRPr="00C35E4F">
        <w:rPr>
          <w:rFonts w:ascii="Book Antiqua" w:hAnsi="Book Antiqua" w:cs="Arial"/>
          <w:sz w:val="24"/>
          <w:szCs w:val="24"/>
        </w:rPr>
        <w:t>.Jakarta. Lintas Pustaka</w:t>
      </w:r>
    </w:p>
    <w:p w:rsidR="00B9042B" w:rsidRPr="00C35E4F" w:rsidRDefault="00B9042B" w:rsidP="002B0EFC">
      <w:pPr>
        <w:spacing w:after="0" w:line="360" w:lineRule="auto"/>
        <w:jc w:val="both"/>
        <w:rPr>
          <w:rFonts w:ascii="Book Antiqua" w:hAnsi="Book Antiqua"/>
          <w:sz w:val="24"/>
          <w:szCs w:val="24"/>
        </w:rPr>
      </w:pPr>
    </w:p>
    <w:sectPr w:rsidR="00B9042B" w:rsidRPr="00C35E4F" w:rsidSect="007C7B36">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595" w:rsidRDefault="006B2595" w:rsidP="0001073F">
      <w:pPr>
        <w:spacing w:after="0" w:line="240" w:lineRule="auto"/>
      </w:pPr>
      <w:r>
        <w:separator/>
      </w:r>
    </w:p>
  </w:endnote>
  <w:endnote w:type="continuationSeparator" w:id="1">
    <w:p w:rsidR="006B2595" w:rsidRDefault="006B2595" w:rsidP="000107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Jamia">
    <w:altName w:val="Jami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4332"/>
      <w:docPartObj>
        <w:docPartGallery w:val="Page Numbers (Bottom of Page)"/>
        <w:docPartUnique/>
      </w:docPartObj>
    </w:sdtPr>
    <w:sdtContent>
      <w:p w:rsidR="004E75CF" w:rsidRDefault="00D521E1">
        <w:pPr>
          <w:pStyle w:val="Footer"/>
          <w:jc w:val="center"/>
        </w:pPr>
        <w:fldSimple w:instr=" PAGE   \* MERGEFORMAT ">
          <w:r w:rsidR="005D518C">
            <w:rPr>
              <w:noProof/>
            </w:rPr>
            <w:t>2</w:t>
          </w:r>
        </w:fldSimple>
      </w:p>
    </w:sdtContent>
  </w:sdt>
  <w:p w:rsidR="004E75CF" w:rsidRDefault="004E7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595" w:rsidRDefault="006B2595" w:rsidP="0001073F">
      <w:pPr>
        <w:spacing w:after="0" w:line="240" w:lineRule="auto"/>
      </w:pPr>
      <w:r>
        <w:separator/>
      </w:r>
    </w:p>
  </w:footnote>
  <w:footnote w:type="continuationSeparator" w:id="1">
    <w:p w:rsidR="006B2595" w:rsidRDefault="006B2595" w:rsidP="0001073F">
      <w:pPr>
        <w:spacing w:after="0" w:line="240" w:lineRule="auto"/>
      </w:pPr>
      <w:r>
        <w:continuationSeparator/>
      </w:r>
    </w:p>
  </w:footnote>
  <w:footnote w:id="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Muhammad Baqir Shadr,</w:t>
      </w:r>
      <w:r w:rsidRPr="00B611A3">
        <w:rPr>
          <w:rFonts w:ascii="Book Antiqua" w:hAnsi="Book Antiqua"/>
          <w:i/>
          <w:sz w:val="18"/>
          <w:szCs w:val="18"/>
        </w:rPr>
        <w:t>Falsafatuna</w:t>
      </w:r>
      <w:r w:rsidRPr="00B611A3">
        <w:rPr>
          <w:rFonts w:ascii="Book Antiqua" w:hAnsi="Book Antiqua"/>
          <w:sz w:val="18"/>
          <w:szCs w:val="18"/>
        </w:rPr>
        <w:t>,terj</w:t>
      </w:r>
      <w:r w:rsidRPr="00B611A3">
        <w:rPr>
          <w:rFonts w:ascii="Book Antiqua" w:hAnsi="Book Antiqua"/>
          <w:sz w:val="18"/>
          <w:szCs w:val="18"/>
          <w:lang w:val="id-ID"/>
        </w:rPr>
        <w:t xml:space="preserve">emah. </w:t>
      </w:r>
      <w:r w:rsidRPr="00B611A3">
        <w:rPr>
          <w:rFonts w:ascii="Book Antiqua" w:hAnsi="Book Antiqua"/>
          <w:sz w:val="18"/>
          <w:szCs w:val="18"/>
        </w:rPr>
        <w:t>M. NurMufid Ali,</w:t>
      </w:r>
      <w:r w:rsidRPr="00B611A3">
        <w:rPr>
          <w:rFonts w:ascii="Book Antiqua" w:hAnsi="Book Antiqua"/>
          <w:sz w:val="18"/>
          <w:szCs w:val="18"/>
          <w:lang w:val="id-ID"/>
        </w:rPr>
        <w:t xml:space="preserve"> Mizan, </w:t>
      </w:r>
      <w:r w:rsidRPr="00B611A3">
        <w:rPr>
          <w:rFonts w:ascii="Book Antiqua" w:hAnsi="Book Antiqua"/>
          <w:sz w:val="18"/>
          <w:szCs w:val="18"/>
        </w:rPr>
        <w:t>Bandung</w:t>
      </w:r>
      <w:r w:rsidRPr="00B611A3">
        <w:rPr>
          <w:rFonts w:ascii="Book Antiqua" w:hAnsi="Book Antiqua"/>
          <w:sz w:val="18"/>
          <w:szCs w:val="18"/>
          <w:lang w:val="id-ID"/>
        </w:rPr>
        <w:t xml:space="preserve">: 1994, hlm. </w:t>
      </w:r>
      <w:r w:rsidRPr="00B611A3">
        <w:rPr>
          <w:rFonts w:ascii="Book Antiqua" w:hAnsi="Book Antiqua"/>
          <w:sz w:val="18"/>
          <w:szCs w:val="18"/>
        </w:rPr>
        <w:t>25</w:t>
      </w:r>
    </w:p>
  </w:footnote>
  <w:footnote w:id="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Bakhtiar</w:t>
      </w:r>
      <w:r w:rsidRPr="00B611A3">
        <w:rPr>
          <w:rFonts w:ascii="Book Antiqua" w:hAnsi="Book Antiqua"/>
          <w:sz w:val="18"/>
          <w:szCs w:val="18"/>
          <w:lang w:val="id-ID"/>
        </w:rPr>
        <w:t xml:space="preserve"> Amsal, </w:t>
      </w:r>
      <w:r w:rsidRPr="00B611A3">
        <w:rPr>
          <w:rFonts w:ascii="Book Antiqua" w:hAnsi="Book Antiqua"/>
          <w:i/>
          <w:sz w:val="18"/>
          <w:szCs w:val="18"/>
        </w:rPr>
        <w:t>Filsafat Ilmu</w:t>
      </w:r>
      <w:r w:rsidRPr="00B611A3">
        <w:rPr>
          <w:rFonts w:ascii="Book Antiqua" w:hAnsi="Book Antiqua"/>
          <w:sz w:val="18"/>
          <w:szCs w:val="18"/>
          <w:lang w:val="id-ID"/>
        </w:rPr>
        <w:t xml:space="preserve">, </w:t>
      </w:r>
      <w:r w:rsidRPr="00B611A3">
        <w:rPr>
          <w:rFonts w:ascii="Book Antiqua" w:hAnsi="Book Antiqua"/>
          <w:sz w:val="18"/>
          <w:szCs w:val="18"/>
        </w:rPr>
        <w:t>Raja GrafindoPersada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2012, hlm. 85</w:t>
      </w:r>
    </w:p>
  </w:footnote>
  <w:footnote w:id="4">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BurhanuddinSalam</w:t>
      </w:r>
      <w:r w:rsidRPr="00B611A3">
        <w:rPr>
          <w:rFonts w:ascii="Book Antiqua" w:hAnsi="Book Antiqua"/>
          <w:sz w:val="18"/>
          <w:szCs w:val="18"/>
          <w:lang w:val="id-ID"/>
        </w:rPr>
        <w:t xml:space="preserve">, </w:t>
      </w:r>
      <w:r w:rsidRPr="00B611A3">
        <w:rPr>
          <w:rFonts w:ascii="Book Antiqua" w:hAnsi="Book Antiqua"/>
          <w:i/>
          <w:sz w:val="18"/>
          <w:szCs w:val="18"/>
        </w:rPr>
        <w:t>Pengantar Filsafat</w:t>
      </w:r>
      <w:r w:rsidRPr="00B611A3">
        <w:rPr>
          <w:rFonts w:ascii="Book Antiqua" w:hAnsi="Book Antiqua"/>
          <w:sz w:val="18"/>
          <w:szCs w:val="18"/>
          <w:lang w:val="id-ID"/>
        </w:rPr>
        <w:t xml:space="preserve">, </w:t>
      </w:r>
      <w:r w:rsidRPr="00B611A3">
        <w:rPr>
          <w:rFonts w:ascii="Book Antiqua" w:hAnsi="Book Antiqua"/>
          <w:sz w:val="18"/>
          <w:szCs w:val="18"/>
        </w:rPr>
        <w:t>Bumi Aksara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xml:space="preserve">: 2000, hlm. </w:t>
      </w:r>
      <w:r w:rsidRPr="00B611A3">
        <w:rPr>
          <w:rFonts w:ascii="Book Antiqua" w:hAnsi="Book Antiqua"/>
          <w:sz w:val="18"/>
          <w:szCs w:val="18"/>
        </w:rPr>
        <w:t>28</w:t>
      </w:r>
    </w:p>
  </w:footnote>
  <w:footnote w:id="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Paul Edward</w:t>
      </w:r>
      <w:r w:rsidRPr="00B611A3">
        <w:rPr>
          <w:rFonts w:ascii="Book Antiqua" w:hAnsi="Book Antiqua"/>
          <w:sz w:val="18"/>
          <w:szCs w:val="18"/>
          <w:lang w:val="id-ID"/>
        </w:rPr>
        <w:t xml:space="preserve">, at.al, </w:t>
      </w:r>
      <w:r w:rsidRPr="00B611A3">
        <w:rPr>
          <w:rFonts w:ascii="Book Antiqua" w:hAnsi="Book Antiqua"/>
          <w:i/>
          <w:sz w:val="18"/>
          <w:szCs w:val="18"/>
        </w:rPr>
        <w:t>The Encylopedia of Philosophy</w:t>
      </w:r>
      <w:r w:rsidRPr="00B611A3">
        <w:rPr>
          <w:rFonts w:ascii="Book Antiqua" w:hAnsi="Book Antiqua"/>
          <w:sz w:val="18"/>
          <w:szCs w:val="18"/>
          <w:lang w:val="id-ID"/>
        </w:rPr>
        <w:t xml:space="preserve">, </w:t>
      </w:r>
      <w:r w:rsidRPr="00B611A3">
        <w:rPr>
          <w:rFonts w:ascii="Book Antiqua" w:hAnsi="Book Antiqua"/>
          <w:sz w:val="18"/>
          <w:szCs w:val="18"/>
        </w:rPr>
        <w:t>Macmilan Publishing Co</w:t>
      </w:r>
      <w:r w:rsidRPr="00B611A3">
        <w:rPr>
          <w:rFonts w:ascii="Book Antiqua" w:hAnsi="Book Antiqua"/>
          <w:sz w:val="18"/>
          <w:szCs w:val="18"/>
          <w:lang w:val="id-ID"/>
        </w:rPr>
        <w:t xml:space="preserve">. </w:t>
      </w:r>
      <w:r w:rsidRPr="00B611A3">
        <w:rPr>
          <w:rFonts w:ascii="Book Antiqua" w:hAnsi="Book Antiqua"/>
          <w:sz w:val="18"/>
          <w:szCs w:val="18"/>
        </w:rPr>
        <w:t>Inc,the Free Press</w:t>
      </w:r>
      <w:r w:rsidRPr="00B611A3">
        <w:rPr>
          <w:rFonts w:ascii="Book Antiqua" w:hAnsi="Book Antiqua"/>
          <w:sz w:val="18"/>
          <w:szCs w:val="18"/>
          <w:lang w:val="id-ID"/>
        </w:rPr>
        <w:t xml:space="preserve">, </w:t>
      </w:r>
      <w:r w:rsidRPr="00B611A3">
        <w:rPr>
          <w:rFonts w:ascii="Book Antiqua" w:hAnsi="Book Antiqua"/>
          <w:sz w:val="18"/>
          <w:szCs w:val="18"/>
        </w:rPr>
        <w:t>NewYork</w:t>
      </w:r>
      <w:r w:rsidRPr="00B611A3">
        <w:rPr>
          <w:rFonts w:ascii="Book Antiqua" w:hAnsi="Book Antiqua"/>
          <w:sz w:val="18"/>
          <w:szCs w:val="18"/>
          <w:lang w:val="id-ID"/>
        </w:rPr>
        <w:t>: 1990, hlm.</w:t>
      </w:r>
      <w:r w:rsidRPr="00B611A3">
        <w:rPr>
          <w:rFonts w:ascii="Book Antiqua" w:hAnsi="Book Antiqua"/>
          <w:sz w:val="18"/>
          <w:szCs w:val="18"/>
        </w:rPr>
        <w:t xml:space="preserve"> 9</w:t>
      </w:r>
    </w:p>
  </w:footnote>
  <w:footnote w:id="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Idri, Epistemologi (Ilmu Pengetahuan, Ilmu Hadis, dan Ilmu Hukum Islam), Prenadamedia Group, Jakarta: 2015, hlm. 4-5</w:t>
      </w:r>
    </w:p>
  </w:footnote>
  <w:footnote w:id="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Kelik Wardiono &amp; Khudzaifah Dimyati, “Basis Epistemologi Paradigma Rasional Dalam Ilmu Hukum: Sebuah Diskripsi Tentang Asumsi Dasar Teori Hukum Murni Hans Kelsen”, Jurnal Dinamika Hukum, Vol.14, No.3, hlm. 370-371, 2015</w:t>
      </w:r>
    </w:p>
  </w:footnote>
  <w:footnote w:id="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Tonny Rompis</w:t>
      </w:r>
      <w:r w:rsidRPr="00B611A3">
        <w:rPr>
          <w:rFonts w:ascii="Book Antiqua" w:hAnsi="Book Antiqua"/>
          <w:sz w:val="18"/>
          <w:szCs w:val="18"/>
          <w:lang w:val="id-ID"/>
        </w:rPr>
        <w:t>, “Kajian Sosiologi Hukum Tentang Menurunnya Kepercayaan Masyarakat Terhadap Hukum Dan Aparat Penegak Hukum Di Sulawesi Utara”, Jurnal L</w:t>
      </w:r>
      <w:r w:rsidRPr="00B611A3">
        <w:rPr>
          <w:rFonts w:ascii="Book Antiqua" w:hAnsi="Book Antiqua"/>
          <w:sz w:val="18"/>
          <w:szCs w:val="18"/>
        </w:rPr>
        <w:t>ex Crimen Vol.</w:t>
      </w:r>
      <w:r w:rsidRPr="00B611A3">
        <w:rPr>
          <w:rFonts w:ascii="Book Antiqua" w:hAnsi="Book Antiqua"/>
          <w:sz w:val="18"/>
          <w:szCs w:val="18"/>
          <w:lang w:val="id-ID"/>
        </w:rPr>
        <w:t>i</w:t>
      </w:r>
      <w:r w:rsidRPr="00B611A3">
        <w:rPr>
          <w:rFonts w:ascii="Book Antiqua" w:hAnsi="Book Antiqua"/>
          <w:sz w:val="18"/>
          <w:szCs w:val="18"/>
        </w:rPr>
        <w:t>v</w:t>
      </w:r>
      <w:r w:rsidRPr="00B611A3">
        <w:rPr>
          <w:rFonts w:ascii="Book Antiqua" w:hAnsi="Book Antiqua"/>
          <w:sz w:val="18"/>
          <w:szCs w:val="18"/>
          <w:lang w:val="id-ID"/>
        </w:rPr>
        <w:t xml:space="preserve">, </w:t>
      </w:r>
      <w:r w:rsidRPr="00B611A3">
        <w:rPr>
          <w:rFonts w:ascii="Book Antiqua" w:hAnsi="Book Antiqua"/>
          <w:sz w:val="18"/>
          <w:szCs w:val="18"/>
        </w:rPr>
        <w:t>No.8</w:t>
      </w:r>
      <w:r w:rsidRPr="00B611A3">
        <w:rPr>
          <w:rFonts w:ascii="Book Antiqua" w:hAnsi="Book Antiqua"/>
          <w:sz w:val="18"/>
          <w:szCs w:val="18"/>
          <w:lang w:val="id-ID"/>
        </w:rPr>
        <w:t>, hlm. 166-167, 2015</w:t>
      </w:r>
    </w:p>
  </w:footnote>
  <w:footnote w:id="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Khudzaifah Dimyati &amp; Kelik Wardiono, “Pola Pemikiran Hukum Responsif; Sebuah Studi Atas Proses Pembangunan Ilmu Hukum Indonesia”, Jurnal Ilmu Hukum Universitas Muhammadiyah Surakarta, Vol.10, No.1, hlm. 17-19, 2007</w:t>
      </w:r>
    </w:p>
  </w:footnote>
  <w:footnote w:id="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Khudzaifah Dimyati, </w:t>
      </w:r>
      <w:r w:rsidRPr="00B611A3">
        <w:rPr>
          <w:rFonts w:ascii="Book Antiqua" w:hAnsi="Book Antiqua"/>
          <w:i/>
          <w:sz w:val="18"/>
          <w:szCs w:val="18"/>
          <w:lang w:val="id-ID"/>
        </w:rPr>
        <w:t>Teorisasi Hukum</w:t>
      </w:r>
      <w:r w:rsidRPr="00B611A3">
        <w:rPr>
          <w:rFonts w:ascii="Book Antiqua" w:hAnsi="Book Antiqua"/>
          <w:sz w:val="18"/>
          <w:szCs w:val="18"/>
          <w:lang w:val="id-ID"/>
        </w:rPr>
        <w:t>, Universitas Muhammadiyah Surakarta Press, Surakarta: 2004, hlm. 40</w:t>
      </w:r>
    </w:p>
  </w:footnote>
  <w:footnote w:id="11">
    <w:p w:rsidR="004E75CF" w:rsidRPr="00B611A3" w:rsidRDefault="004E75CF" w:rsidP="00B611A3">
      <w:pPr>
        <w:pStyle w:val="FootnoteText"/>
        <w:jc w:val="both"/>
        <w:rPr>
          <w:rFonts w:ascii="Book Antiqua" w:eastAsia="Calibri"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Fred N. Kelinger</w:t>
      </w:r>
      <w:r w:rsidRPr="00B611A3">
        <w:rPr>
          <w:rFonts w:ascii="Book Antiqua" w:hAnsi="Book Antiqua"/>
          <w:sz w:val="18"/>
          <w:szCs w:val="18"/>
          <w:lang w:val="id-ID"/>
        </w:rPr>
        <w:t xml:space="preserve">, </w:t>
      </w:r>
      <w:r w:rsidRPr="00B611A3">
        <w:rPr>
          <w:rFonts w:ascii="Book Antiqua" w:hAnsi="Book Antiqua"/>
          <w:i/>
          <w:sz w:val="18"/>
          <w:szCs w:val="18"/>
          <w:lang w:val="id-ID"/>
        </w:rPr>
        <w:t>Asas-asas Penelitian Behavioral</w:t>
      </w:r>
      <w:r w:rsidRPr="00B611A3">
        <w:rPr>
          <w:rFonts w:ascii="Book Antiqua" w:hAnsi="Book Antiqua"/>
          <w:sz w:val="18"/>
          <w:szCs w:val="18"/>
          <w:lang w:val="id-ID"/>
        </w:rPr>
        <w:t>, Gajah Mada University Press, Yogyakarta: 2004, hlm. 14-15</w:t>
      </w:r>
    </w:p>
  </w:footnote>
  <w:footnote w:id="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James A. Black and Dean J. Champion, </w:t>
      </w:r>
      <w:r w:rsidRPr="00B611A3">
        <w:rPr>
          <w:rFonts w:ascii="Book Antiqua" w:hAnsi="Book Antiqua"/>
          <w:i/>
          <w:sz w:val="18"/>
          <w:szCs w:val="18"/>
          <w:lang w:val="id-ID"/>
        </w:rPr>
        <w:t>Methods and Issues in Social Research,</w:t>
      </w:r>
      <w:r w:rsidRPr="00B611A3">
        <w:rPr>
          <w:rFonts w:ascii="Book Antiqua" w:hAnsi="Book Antiqua"/>
          <w:sz w:val="18"/>
          <w:szCs w:val="18"/>
          <w:lang w:val="id-ID"/>
        </w:rPr>
        <w:t xml:space="preserve">John Wiley &amp; Sons. Inc,New York: 1976, dalam Soerjono Soekanto, </w:t>
      </w:r>
      <w:r w:rsidRPr="00B611A3">
        <w:rPr>
          <w:rFonts w:ascii="Book Antiqua" w:hAnsi="Book Antiqua"/>
          <w:i/>
          <w:sz w:val="18"/>
          <w:szCs w:val="18"/>
          <w:lang w:val="id-ID"/>
        </w:rPr>
        <w:t>Op. Cit</w:t>
      </w:r>
      <w:r w:rsidRPr="00B611A3">
        <w:rPr>
          <w:rFonts w:ascii="Book Antiqua" w:hAnsi="Book Antiqua"/>
          <w:sz w:val="18"/>
          <w:szCs w:val="18"/>
          <w:lang w:val="id-ID"/>
        </w:rPr>
        <w:t xml:space="preserve">, hlm. 122-123 </w:t>
      </w:r>
    </w:p>
  </w:footnote>
  <w:footnote w:id="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L.J. Van Apeldroon, </w:t>
      </w:r>
      <w:r w:rsidRPr="00B611A3">
        <w:rPr>
          <w:rFonts w:ascii="Book Antiqua" w:hAnsi="Book Antiqua"/>
          <w:sz w:val="18"/>
          <w:szCs w:val="18"/>
          <w:lang w:val="id-ID"/>
        </w:rPr>
        <w:t xml:space="preserve">2005, </w:t>
      </w:r>
      <w:r w:rsidRPr="00B611A3">
        <w:rPr>
          <w:rFonts w:ascii="Book Antiqua" w:hAnsi="Book Antiqua"/>
          <w:i/>
          <w:sz w:val="18"/>
          <w:szCs w:val="18"/>
        </w:rPr>
        <w:t>Inleiding tot de Studie van het Nederlandse Recht</w:t>
      </w:r>
      <w:r w:rsidRPr="00B611A3">
        <w:rPr>
          <w:rFonts w:ascii="Book Antiqua" w:hAnsi="Book Antiqua"/>
          <w:sz w:val="18"/>
          <w:szCs w:val="18"/>
        </w:rPr>
        <w:t>,</w:t>
      </w:r>
      <w:r w:rsidRPr="00B611A3">
        <w:rPr>
          <w:rFonts w:ascii="Book Antiqua" w:hAnsi="Book Antiqua"/>
          <w:sz w:val="18"/>
          <w:szCs w:val="18"/>
          <w:lang w:val="id-ID"/>
        </w:rPr>
        <w:t xml:space="preserve"> dalam </w:t>
      </w:r>
      <w:r w:rsidRPr="00B611A3">
        <w:rPr>
          <w:rFonts w:ascii="Book Antiqua" w:hAnsi="Book Antiqua"/>
          <w:sz w:val="18"/>
          <w:szCs w:val="18"/>
        </w:rPr>
        <w:t xml:space="preserve">Johnny Ibrahim,Teori Metode dan Penelitian Hukum Normatif,Bayu Media, </w:t>
      </w:r>
      <w:r w:rsidRPr="00B611A3">
        <w:rPr>
          <w:rFonts w:ascii="Book Antiqua" w:hAnsi="Book Antiqua"/>
          <w:sz w:val="18"/>
          <w:szCs w:val="18"/>
          <w:lang w:val="id-ID"/>
        </w:rPr>
        <w:t xml:space="preserve">Malang: </w:t>
      </w:r>
      <w:r w:rsidRPr="00B611A3">
        <w:rPr>
          <w:rFonts w:ascii="Book Antiqua" w:hAnsi="Book Antiqua"/>
          <w:sz w:val="18"/>
          <w:szCs w:val="18"/>
        </w:rPr>
        <w:t>2005, h</w:t>
      </w:r>
      <w:r w:rsidRPr="00B611A3">
        <w:rPr>
          <w:rFonts w:ascii="Book Antiqua" w:hAnsi="Book Antiqua"/>
          <w:sz w:val="18"/>
          <w:szCs w:val="18"/>
          <w:lang w:val="id-ID"/>
        </w:rPr>
        <w:t xml:space="preserve">lm. </w:t>
      </w:r>
      <w:r w:rsidRPr="00B611A3">
        <w:rPr>
          <w:rFonts w:ascii="Book Antiqua" w:hAnsi="Book Antiqua"/>
          <w:sz w:val="18"/>
          <w:szCs w:val="18"/>
        </w:rPr>
        <w:t>183</w:t>
      </w:r>
    </w:p>
  </w:footnote>
  <w:footnote w:id="14">
    <w:p w:rsidR="004E75CF" w:rsidRPr="00B611A3" w:rsidRDefault="004E75CF" w:rsidP="00B611A3">
      <w:pPr>
        <w:pStyle w:val="FootnoteText"/>
        <w:jc w:val="both"/>
        <w:rPr>
          <w:rFonts w:ascii="Book Antiqua" w:hAnsi="Book Antiqua" w:cs="Arial"/>
          <w:i/>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rPr>
        <w:t xml:space="preserve"> Edy Rifai,</w:t>
      </w:r>
      <w:r w:rsidRPr="00B611A3">
        <w:rPr>
          <w:rFonts w:ascii="Book Antiqua" w:hAnsi="Book Antiqua" w:cs="Arial"/>
          <w:sz w:val="18"/>
          <w:szCs w:val="18"/>
          <w:lang w:val="id-ID"/>
        </w:rPr>
        <w:t xml:space="preserve"> “</w:t>
      </w:r>
      <w:r w:rsidRPr="00B611A3">
        <w:rPr>
          <w:rFonts w:ascii="Book Antiqua" w:hAnsi="Book Antiqua" w:cs="Arial"/>
          <w:sz w:val="18"/>
          <w:szCs w:val="18"/>
        </w:rPr>
        <w:t>Peran Hakim Dalam Penemuan Hukum dan Menciptakan Hukum Pada EraReformasi</w:t>
      </w:r>
      <w:r w:rsidRPr="00B611A3">
        <w:rPr>
          <w:rFonts w:ascii="Book Antiqua" w:hAnsi="Book Antiqua" w:cs="Arial"/>
          <w:sz w:val="18"/>
          <w:szCs w:val="18"/>
          <w:lang w:val="id-ID"/>
        </w:rPr>
        <w:t>”</w:t>
      </w:r>
      <w:r w:rsidRPr="00B611A3">
        <w:rPr>
          <w:rFonts w:ascii="Book Antiqua" w:hAnsi="Book Antiqua" w:cs="Arial"/>
          <w:sz w:val="18"/>
          <w:szCs w:val="18"/>
        </w:rPr>
        <w:t>, Jurnal Ilmu Hukum Praevia</w:t>
      </w:r>
      <w:r w:rsidRPr="00B611A3">
        <w:rPr>
          <w:rFonts w:ascii="Book Antiqua" w:hAnsi="Book Antiqua" w:cs="Arial"/>
          <w:sz w:val="18"/>
          <w:szCs w:val="18"/>
          <w:lang w:val="id-ID"/>
        </w:rPr>
        <w:t xml:space="preserve">, </w:t>
      </w:r>
      <w:r w:rsidRPr="00B611A3">
        <w:rPr>
          <w:rFonts w:ascii="Book Antiqua" w:hAnsi="Book Antiqua" w:cs="Arial"/>
          <w:sz w:val="18"/>
          <w:szCs w:val="18"/>
        </w:rPr>
        <w:t>Vol</w:t>
      </w:r>
      <w:r w:rsidRPr="00B611A3">
        <w:rPr>
          <w:rFonts w:ascii="Book Antiqua" w:hAnsi="Book Antiqua" w:cs="Arial"/>
          <w:sz w:val="18"/>
          <w:szCs w:val="18"/>
          <w:lang w:val="id-ID"/>
        </w:rPr>
        <w:t xml:space="preserve">. </w:t>
      </w:r>
      <w:r w:rsidRPr="00B611A3">
        <w:rPr>
          <w:rFonts w:ascii="Book Antiqua" w:hAnsi="Book Antiqua" w:cs="Arial"/>
          <w:sz w:val="18"/>
          <w:szCs w:val="18"/>
        </w:rPr>
        <w:t>4</w:t>
      </w:r>
      <w:r w:rsidRPr="00B611A3">
        <w:rPr>
          <w:rFonts w:ascii="Book Antiqua" w:hAnsi="Book Antiqua" w:cs="Arial"/>
          <w:sz w:val="18"/>
          <w:szCs w:val="18"/>
          <w:lang w:val="id-ID"/>
        </w:rPr>
        <w:t xml:space="preserve">, </w:t>
      </w:r>
      <w:r w:rsidRPr="00B611A3">
        <w:rPr>
          <w:rFonts w:ascii="Book Antiqua" w:hAnsi="Book Antiqua" w:cs="Arial"/>
          <w:sz w:val="18"/>
          <w:szCs w:val="18"/>
        </w:rPr>
        <w:t>No</w:t>
      </w:r>
      <w:r w:rsidRPr="00B611A3">
        <w:rPr>
          <w:rFonts w:ascii="Book Antiqua" w:hAnsi="Book Antiqua" w:cs="Arial"/>
          <w:sz w:val="18"/>
          <w:szCs w:val="18"/>
          <w:lang w:val="id-ID"/>
        </w:rPr>
        <w:t xml:space="preserve">. </w:t>
      </w:r>
      <w:r w:rsidRPr="00B611A3">
        <w:rPr>
          <w:rFonts w:ascii="Book Antiqua" w:hAnsi="Book Antiqua" w:cs="Arial"/>
          <w:sz w:val="18"/>
          <w:szCs w:val="18"/>
        </w:rPr>
        <w:t>1</w:t>
      </w:r>
      <w:r w:rsidRPr="00B611A3">
        <w:rPr>
          <w:rFonts w:ascii="Book Antiqua" w:hAnsi="Book Antiqua" w:cs="Arial"/>
          <w:sz w:val="18"/>
          <w:szCs w:val="18"/>
          <w:lang w:val="id-ID"/>
        </w:rPr>
        <w:t>, hlm. 49, 2010</w:t>
      </w:r>
    </w:p>
  </w:footnote>
  <w:footnote w:id="15">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lang w:val="id-ID"/>
        </w:rPr>
        <w:t xml:space="preserve"> Bernard </w:t>
      </w:r>
      <w:r w:rsidRPr="00B611A3">
        <w:rPr>
          <w:rFonts w:ascii="Book Antiqua" w:hAnsi="Book Antiqua" w:cs="Arial"/>
          <w:sz w:val="18"/>
          <w:szCs w:val="18"/>
        </w:rPr>
        <w:t>Arief Sidharta,</w:t>
      </w:r>
      <w:r w:rsidRPr="00B611A3">
        <w:rPr>
          <w:rFonts w:ascii="Book Antiqua" w:hAnsi="Book Antiqua" w:cs="Arial"/>
          <w:i/>
          <w:sz w:val="18"/>
          <w:szCs w:val="18"/>
        </w:rPr>
        <w:t>Apakah Filsafat dan Filsafat Ilmu Itu</w:t>
      </w:r>
      <w:r w:rsidRPr="00B611A3">
        <w:rPr>
          <w:rFonts w:ascii="Book Antiqua" w:hAnsi="Book Antiqua" w:cs="Arial"/>
          <w:sz w:val="18"/>
          <w:szCs w:val="18"/>
        </w:rPr>
        <w:t>,Pustaka Sutra</w:t>
      </w:r>
      <w:r w:rsidRPr="00B611A3">
        <w:rPr>
          <w:rFonts w:ascii="Book Antiqua" w:hAnsi="Book Antiqua" w:cs="Arial"/>
          <w:sz w:val="18"/>
          <w:szCs w:val="18"/>
          <w:lang w:val="id-ID"/>
        </w:rPr>
        <w:t>, Bandung: 2008, hlm. 7-11</w:t>
      </w:r>
    </w:p>
  </w:footnote>
  <w:footnote w:id="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Zulfadli Barus</w:t>
      </w:r>
      <w:r w:rsidRPr="00B611A3">
        <w:rPr>
          <w:rFonts w:ascii="Book Antiqua" w:hAnsi="Book Antiqua"/>
          <w:sz w:val="18"/>
          <w:szCs w:val="18"/>
          <w:lang w:val="id-ID"/>
        </w:rPr>
        <w:t>, “Analisis Filosofis Tentang Peta Konseptual Penelitian Hukum Normatif Dan Penelitian Hukum Sosiologis”, Jurnal Dinamika Hukum, Vol.13, No.2, hlm. 309, 2013</w:t>
      </w:r>
    </w:p>
  </w:footnote>
  <w:footnote w:id="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Kebenaran hukum yang diputar-balikkan sesuai kepentingan akibat kebebasan memahami hukum. Hal ini tidak lepas dari pengaruh ideologi (demokrasi) liberal yang menganut asas kebebasan yang diterima di seluruh dunia. Francis Fukuyama, </w:t>
      </w:r>
      <w:r w:rsidRPr="00B611A3">
        <w:rPr>
          <w:rFonts w:ascii="Book Antiqua" w:hAnsi="Book Antiqua"/>
          <w:i/>
          <w:sz w:val="18"/>
          <w:szCs w:val="18"/>
          <w:lang w:val="id-ID"/>
        </w:rPr>
        <w:t>The End of History and The Last Man</w:t>
      </w:r>
      <w:r w:rsidRPr="00B611A3">
        <w:rPr>
          <w:rFonts w:ascii="Book Antiqua" w:hAnsi="Book Antiqua"/>
          <w:sz w:val="18"/>
          <w:szCs w:val="18"/>
          <w:lang w:val="id-ID"/>
        </w:rPr>
        <w:t>, Penguin, London: 1992.</w:t>
      </w:r>
    </w:p>
  </w:footnote>
  <w:footnote w:id="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Richard G. Singer dan John Q. La Fond,</w:t>
      </w:r>
      <w:r w:rsidRPr="00B611A3">
        <w:rPr>
          <w:rFonts w:ascii="Book Antiqua" w:hAnsi="Book Antiqua"/>
          <w:i/>
          <w:sz w:val="18"/>
          <w:szCs w:val="18"/>
        </w:rPr>
        <w:t>Criminal Law,</w:t>
      </w:r>
      <w:r w:rsidRPr="00B611A3">
        <w:rPr>
          <w:rFonts w:ascii="Book Antiqua" w:hAnsi="Book Antiqua"/>
          <w:sz w:val="18"/>
          <w:szCs w:val="18"/>
        </w:rPr>
        <w:t>Aspen Publisher, New York</w:t>
      </w:r>
      <w:r w:rsidRPr="00B611A3">
        <w:rPr>
          <w:rFonts w:ascii="Book Antiqua" w:hAnsi="Book Antiqua"/>
          <w:sz w:val="18"/>
          <w:szCs w:val="18"/>
          <w:lang w:val="id-ID"/>
        </w:rPr>
        <w:t xml:space="preserve">: </w:t>
      </w:r>
      <w:r w:rsidRPr="00B611A3">
        <w:rPr>
          <w:rFonts w:ascii="Book Antiqua" w:hAnsi="Book Antiqua"/>
          <w:sz w:val="18"/>
          <w:szCs w:val="18"/>
        </w:rPr>
        <w:t>2007,hlm.41</w:t>
      </w:r>
    </w:p>
  </w:footnote>
  <w:footnote w:id="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 Harris</w:t>
      </w:r>
      <w:r w:rsidRPr="00B611A3">
        <w:rPr>
          <w:rFonts w:ascii="Book Antiqua" w:hAnsi="Book Antiqua"/>
          <w:sz w:val="18"/>
          <w:szCs w:val="18"/>
          <w:lang w:val="id-ID"/>
        </w:rPr>
        <w:t xml:space="preserve"> dalam </w:t>
      </w:r>
      <w:r w:rsidRPr="00B611A3">
        <w:rPr>
          <w:rFonts w:ascii="Book Antiqua" w:hAnsi="Book Antiqua"/>
          <w:sz w:val="18"/>
          <w:szCs w:val="18"/>
        </w:rPr>
        <w:t>Khudzaifah Dimyati,</w:t>
      </w:r>
      <w:r w:rsidRPr="00B611A3">
        <w:rPr>
          <w:rFonts w:ascii="Book Antiqua" w:hAnsi="Book Antiqua"/>
          <w:sz w:val="18"/>
          <w:szCs w:val="18"/>
          <w:lang w:val="id-ID"/>
        </w:rPr>
        <w:t xml:space="preserve"> </w:t>
      </w:r>
      <w:r w:rsidRPr="00B611A3">
        <w:rPr>
          <w:rFonts w:ascii="Book Antiqua" w:hAnsi="Book Antiqua"/>
          <w:i/>
          <w:sz w:val="18"/>
          <w:szCs w:val="18"/>
          <w:lang w:val="id-ID"/>
        </w:rPr>
        <w:t>Pemikiran Hukum, Op. Cit</w:t>
      </w:r>
      <w:r w:rsidRPr="00B611A3">
        <w:rPr>
          <w:rFonts w:ascii="Book Antiqua" w:hAnsi="Book Antiqua"/>
          <w:sz w:val="18"/>
          <w:szCs w:val="18"/>
          <w:lang w:val="id-ID"/>
        </w:rPr>
        <w:t>, hlm. 27</w:t>
      </w:r>
    </w:p>
  </w:footnote>
  <w:footnote w:id="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John Austin,</w:t>
      </w:r>
      <w:r w:rsidRPr="00B611A3">
        <w:rPr>
          <w:rFonts w:ascii="Book Antiqua" w:hAnsi="Book Antiqua"/>
          <w:i/>
          <w:sz w:val="18"/>
          <w:szCs w:val="18"/>
        </w:rPr>
        <w:t>TheProvince of Jurisprudence Determined,</w:t>
      </w:r>
      <w:r w:rsidRPr="00B611A3">
        <w:rPr>
          <w:rFonts w:ascii="Book Antiqua" w:hAnsi="Book Antiqua"/>
          <w:sz w:val="18"/>
          <w:szCs w:val="18"/>
        </w:rPr>
        <w:t xml:space="preserve"> Cambridge University Press</w:t>
      </w:r>
      <w:r w:rsidRPr="00B611A3">
        <w:rPr>
          <w:rFonts w:ascii="Book Antiqua" w:hAnsi="Book Antiqua"/>
          <w:sz w:val="18"/>
          <w:szCs w:val="18"/>
          <w:lang w:val="id-ID"/>
        </w:rPr>
        <w:t>:</w:t>
      </w:r>
      <w:r w:rsidRPr="00B611A3">
        <w:rPr>
          <w:rFonts w:ascii="Book Antiqua" w:hAnsi="Book Antiqua"/>
          <w:sz w:val="18"/>
          <w:szCs w:val="18"/>
        </w:rPr>
        <w:t xml:space="preserve"> 1995,</w:t>
      </w:r>
      <w:r w:rsidRPr="00B611A3">
        <w:rPr>
          <w:rFonts w:ascii="Book Antiqua" w:hAnsi="Book Antiqua"/>
          <w:sz w:val="18"/>
          <w:szCs w:val="18"/>
          <w:lang w:val="id-ID"/>
        </w:rPr>
        <w:t>hlm. 20-22</w:t>
      </w:r>
    </w:p>
  </w:footnote>
  <w:footnote w:id="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M.R. Zafer, </w:t>
      </w:r>
      <w:r w:rsidRPr="00B611A3">
        <w:rPr>
          <w:rFonts w:ascii="Book Antiqua" w:hAnsi="Book Antiqua"/>
          <w:i/>
          <w:sz w:val="18"/>
          <w:szCs w:val="18"/>
          <w:lang w:val="id-ID"/>
        </w:rPr>
        <w:t>Jurisprudence an Outline</w:t>
      </w:r>
      <w:r w:rsidRPr="00B611A3">
        <w:rPr>
          <w:rFonts w:ascii="Book Antiqua" w:hAnsi="Book Antiqua"/>
          <w:sz w:val="18"/>
          <w:szCs w:val="18"/>
          <w:lang w:val="id-ID"/>
        </w:rPr>
        <w:t>, International Law Book Services, Kuala Lumpur: 1984, hlm. 6-7</w:t>
      </w:r>
    </w:p>
  </w:footnote>
  <w:footnote w:id="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H.L.A. Hart,</w:t>
      </w:r>
      <w:r w:rsidRPr="00B611A3">
        <w:rPr>
          <w:rFonts w:ascii="Book Antiqua" w:hAnsi="Book Antiqua"/>
          <w:i/>
          <w:sz w:val="18"/>
          <w:szCs w:val="18"/>
        </w:rPr>
        <w:t>The Concept of Law</w:t>
      </w:r>
      <w:r w:rsidRPr="00B611A3">
        <w:rPr>
          <w:rFonts w:ascii="Book Antiqua" w:hAnsi="Book Antiqua"/>
          <w:sz w:val="18"/>
          <w:szCs w:val="18"/>
        </w:rPr>
        <w:t>,Oxford University Press, Clarendon</w:t>
      </w:r>
      <w:r w:rsidRPr="00B611A3">
        <w:rPr>
          <w:rFonts w:ascii="Book Antiqua" w:hAnsi="Book Antiqua"/>
          <w:sz w:val="18"/>
          <w:szCs w:val="18"/>
          <w:lang w:val="id-ID"/>
        </w:rPr>
        <w:t>: 1994, hlm. 90-91</w:t>
      </w:r>
    </w:p>
  </w:footnote>
  <w:footnote w:id="2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A. Freeman,</w:t>
      </w:r>
      <w:r w:rsidRPr="00B611A3">
        <w:rPr>
          <w:rFonts w:ascii="Book Antiqua" w:hAnsi="Book Antiqua"/>
          <w:i/>
          <w:sz w:val="18"/>
          <w:szCs w:val="18"/>
        </w:rPr>
        <w:t>Llyod Introduction to Jurisprudence</w:t>
      </w:r>
      <w:r w:rsidRPr="00B611A3">
        <w:rPr>
          <w:rFonts w:ascii="Book Antiqua" w:hAnsi="Book Antiqua"/>
          <w:sz w:val="18"/>
          <w:szCs w:val="18"/>
        </w:rPr>
        <w:t>,Sweet Maxwell</w:t>
      </w:r>
      <w:r w:rsidRPr="00B611A3">
        <w:rPr>
          <w:rFonts w:ascii="Book Antiqua" w:hAnsi="Book Antiqua"/>
          <w:sz w:val="18"/>
          <w:szCs w:val="18"/>
          <w:lang w:val="id-ID"/>
        </w:rPr>
        <w:t xml:space="preserve">, </w:t>
      </w:r>
      <w:r w:rsidRPr="00B611A3">
        <w:rPr>
          <w:rFonts w:ascii="Book Antiqua" w:hAnsi="Book Antiqua"/>
          <w:sz w:val="18"/>
          <w:szCs w:val="18"/>
        </w:rPr>
        <w:t>London</w:t>
      </w:r>
      <w:r w:rsidRPr="00B611A3">
        <w:rPr>
          <w:rFonts w:ascii="Book Antiqua" w:hAnsi="Book Antiqua"/>
          <w:sz w:val="18"/>
          <w:szCs w:val="18"/>
          <w:lang w:val="id-ID"/>
        </w:rPr>
        <w:t xml:space="preserve">: 2001,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Kennet Einar Himma,</w:t>
      </w:r>
      <w:r w:rsidRPr="00B611A3">
        <w:rPr>
          <w:rFonts w:ascii="Book Antiqua" w:hAnsi="Book Antiqua"/>
          <w:i/>
          <w:sz w:val="18"/>
          <w:szCs w:val="18"/>
        </w:rPr>
        <w:t>Inclusive Legal Positivism</w:t>
      </w:r>
      <w:r w:rsidRPr="00B611A3">
        <w:rPr>
          <w:rFonts w:ascii="Book Antiqua" w:hAnsi="Book Antiqua"/>
          <w:sz w:val="18"/>
          <w:szCs w:val="18"/>
        </w:rPr>
        <w:t>,Oxford hand Book Jurisprudence and Philosophy of Law, Oxford University Press</w:t>
      </w:r>
      <w:r w:rsidRPr="00B611A3">
        <w:rPr>
          <w:rFonts w:ascii="Book Antiqua" w:hAnsi="Book Antiqua"/>
          <w:sz w:val="18"/>
          <w:szCs w:val="18"/>
          <w:lang w:val="id-ID"/>
        </w:rPr>
        <w:t xml:space="preserve">: 2002, hlm. </w:t>
      </w:r>
      <w:r w:rsidRPr="00B611A3">
        <w:rPr>
          <w:rFonts w:ascii="Book Antiqua" w:hAnsi="Book Antiqua"/>
          <w:sz w:val="18"/>
          <w:szCs w:val="18"/>
        </w:rPr>
        <w:t>125</w:t>
      </w:r>
    </w:p>
  </w:footnote>
  <w:footnote w:id="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William E. Conklin,</w:t>
      </w:r>
      <w:r w:rsidRPr="00B611A3">
        <w:rPr>
          <w:rFonts w:ascii="Book Antiqua" w:hAnsi="Book Antiqua"/>
          <w:i/>
          <w:sz w:val="18"/>
          <w:szCs w:val="18"/>
        </w:rPr>
        <w:t>The Invisible Origins of Legal Positivism</w:t>
      </w:r>
      <w:r w:rsidRPr="00B611A3">
        <w:rPr>
          <w:rFonts w:ascii="Book Antiqua" w:hAnsi="Book Antiqua"/>
          <w:sz w:val="18"/>
          <w:szCs w:val="18"/>
        </w:rPr>
        <w:t>,Kluwer AcademicPublisher</w:t>
      </w:r>
      <w:r w:rsidRPr="00B611A3">
        <w:rPr>
          <w:rFonts w:ascii="Book Antiqua" w:hAnsi="Book Antiqua"/>
          <w:sz w:val="18"/>
          <w:szCs w:val="18"/>
          <w:lang w:val="id-ID"/>
        </w:rPr>
        <w:t xml:space="preserve">: 2001, hlm. </w:t>
      </w:r>
      <w:r w:rsidRPr="00B611A3">
        <w:rPr>
          <w:rFonts w:ascii="Book Antiqua" w:hAnsi="Book Antiqua"/>
          <w:sz w:val="18"/>
          <w:szCs w:val="18"/>
        </w:rPr>
        <w:t>64</w:t>
      </w:r>
    </w:p>
  </w:footnote>
  <w:footnote w:id="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Jimly Asshiddiqie dan M. Ali Safa’at, </w:t>
      </w:r>
      <w:r w:rsidRPr="00B611A3">
        <w:rPr>
          <w:rFonts w:ascii="Book Antiqua" w:hAnsi="Book Antiqua"/>
          <w:i/>
          <w:sz w:val="18"/>
          <w:szCs w:val="18"/>
          <w:lang w:val="id-ID"/>
        </w:rPr>
        <w:t>Teori Hans Kelsen Tentang Hukum</w:t>
      </w:r>
      <w:r w:rsidRPr="00B611A3">
        <w:rPr>
          <w:rFonts w:ascii="Book Antiqua" w:hAnsi="Book Antiqua"/>
          <w:sz w:val="18"/>
          <w:szCs w:val="18"/>
          <w:lang w:val="id-ID"/>
        </w:rPr>
        <w:t>, Mahkamah Konstitusi RI, Konstitusi Press, Jakarta: 2006, hlm. 8-9</w:t>
      </w:r>
    </w:p>
  </w:footnote>
  <w:footnote w:id="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General Theory of Law and State</w:t>
      </w:r>
      <w:r w:rsidRPr="00B611A3">
        <w:rPr>
          <w:rFonts w:ascii="Book Antiqua" w:hAnsi="Book Antiqua"/>
          <w:sz w:val="18"/>
          <w:szCs w:val="18"/>
          <w:lang w:val="id-ID"/>
        </w:rPr>
        <w:t>, Trans. Anders Wedberg, Renewed, Russel &amp; Russel, New York: 1973, hlm. 124</w:t>
      </w:r>
    </w:p>
  </w:footnote>
  <w:footnote w:id="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L. Paulson, </w:t>
      </w:r>
      <w:r w:rsidRPr="00B611A3">
        <w:rPr>
          <w:rFonts w:ascii="Book Antiqua" w:hAnsi="Book Antiqua"/>
          <w:i/>
          <w:sz w:val="18"/>
          <w:szCs w:val="18"/>
          <w:lang w:val="id-ID"/>
        </w:rPr>
        <w:t>On Kelsen’s Place in Jurispruden, Intruduction to Hans Kelsen, Introduction to the Problems of Legal Theory: A Translation of the First Edition of the Reine Rechtslehre or Pure Theory of Law</w:t>
      </w:r>
      <w:r w:rsidRPr="00B611A3">
        <w:rPr>
          <w:rFonts w:ascii="Book Antiqua" w:hAnsi="Book Antiqua"/>
          <w:sz w:val="18"/>
          <w:szCs w:val="18"/>
          <w:lang w:val="id-ID"/>
        </w:rPr>
        <w:t>, translated by Bonnie Litschewski Paulson and Stanley L. Paulson, Clarendon Press, Oxford: 1992, hlm. 26</w:t>
      </w:r>
    </w:p>
  </w:footnote>
  <w:footnote w:id="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w:t>
      </w:r>
      <w:r w:rsidRPr="00B611A3">
        <w:rPr>
          <w:rFonts w:ascii="Book Antiqua" w:hAnsi="Book Antiqua"/>
          <w:i/>
          <w:sz w:val="18"/>
          <w:szCs w:val="18"/>
        </w:rPr>
        <w:t>The Pure Theory of Law</w:t>
      </w:r>
      <w:r w:rsidRPr="00B611A3">
        <w:rPr>
          <w:rFonts w:ascii="Book Antiqua" w:hAnsi="Book Antiqua"/>
          <w:sz w:val="18"/>
          <w:szCs w:val="18"/>
        </w:rPr>
        <w:t>,</w:t>
      </w:r>
      <w:r w:rsidRPr="00B611A3">
        <w:rPr>
          <w:rFonts w:ascii="Book Antiqua" w:hAnsi="Book Antiqua"/>
          <w:sz w:val="18"/>
          <w:szCs w:val="18"/>
          <w:lang w:val="id-ID"/>
        </w:rPr>
        <w:t xml:space="preserve"> Trans. </w:t>
      </w:r>
      <w:r w:rsidRPr="00B611A3">
        <w:rPr>
          <w:rFonts w:ascii="Book Antiqua" w:hAnsi="Book Antiqua"/>
          <w:sz w:val="18"/>
          <w:szCs w:val="18"/>
        </w:rPr>
        <w:t>Max Knight,University of CaliforniaPress</w:t>
      </w:r>
      <w:r w:rsidRPr="00B611A3">
        <w:rPr>
          <w:rFonts w:ascii="Book Antiqua" w:hAnsi="Book Antiqua"/>
          <w:sz w:val="18"/>
          <w:szCs w:val="18"/>
          <w:lang w:val="id-ID"/>
        </w:rPr>
        <w:t xml:space="preserve">: 1976, hlm. </w:t>
      </w:r>
      <w:r w:rsidRPr="00B611A3">
        <w:rPr>
          <w:rFonts w:ascii="Book Antiqua" w:hAnsi="Book Antiqua"/>
          <w:sz w:val="18"/>
          <w:szCs w:val="18"/>
        </w:rPr>
        <w:t>1</w:t>
      </w:r>
      <w:r w:rsidRPr="00B611A3">
        <w:rPr>
          <w:rFonts w:ascii="Book Antiqua" w:hAnsi="Book Antiqua"/>
          <w:sz w:val="18"/>
          <w:szCs w:val="18"/>
          <w:lang w:val="id-ID"/>
        </w:rPr>
        <w:t xml:space="preserve">-2. </w:t>
      </w:r>
    </w:p>
  </w:footnote>
  <w:footnote w:id="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Lloyd of Hampstead and Freeman, </w:t>
      </w:r>
      <w:r w:rsidRPr="00B611A3">
        <w:rPr>
          <w:rFonts w:ascii="Book Antiqua" w:hAnsi="Book Antiqua"/>
          <w:i/>
          <w:sz w:val="18"/>
          <w:szCs w:val="18"/>
          <w:lang w:val="id-ID"/>
        </w:rPr>
        <w:t>Llyod’s Introduction to Jurisprudence</w:t>
      </w:r>
      <w:r w:rsidRPr="00B611A3">
        <w:rPr>
          <w:rFonts w:ascii="Book Antiqua" w:hAnsi="Book Antiqua"/>
          <w:sz w:val="18"/>
          <w:szCs w:val="18"/>
          <w:lang w:val="id-ID"/>
        </w:rPr>
        <w:t>, Steven&amp; Sons, London: 1985, hlm. 348 -349</w:t>
      </w:r>
    </w:p>
  </w:footnote>
  <w:footnote w:id="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J.W. Harris,</w:t>
      </w:r>
      <w:r w:rsidRPr="00B611A3">
        <w:rPr>
          <w:rFonts w:ascii="Book Antiqua" w:hAnsi="Book Antiqua"/>
          <w:i/>
          <w:sz w:val="18"/>
          <w:szCs w:val="18"/>
        </w:rPr>
        <w:t>Law and Legal Science: An Inquiry into the Concepts Legal Rule and Legal System</w:t>
      </w:r>
      <w:r w:rsidRPr="00B611A3">
        <w:rPr>
          <w:rFonts w:ascii="Book Antiqua" w:hAnsi="Book Antiqua"/>
          <w:sz w:val="18"/>
          <w:szCs w:val="18"/>
          <w:lang w:val="id-ID"/>
        </w:rPr>
        <w:t xml:space="preserve">, </w:t>
      </w:r>
      <w:r w:rsidRPr="00B611A3">
        <w:rPr>
          <w:rFonts w:ascii="Book Antiqua" w:hAnsi="Book Antiqua"/>
          <w:sz w:val="18"/>
          <w:szCs w:val="18"/>
        </w:rPr>
        <w:t>Clarendon Press, Oxford</w:t>
      </w:r>
      <w:r w:rsidRPr="00B611A3">
        <w:rPr>
          <w:rFonts w:ascii="Book Antiqua" w:hAnsi="Book Antiqua"/>
          <w:sz w:val="18"/>
          <w:szCs w:val="18"/>
          <w:lang w:val="id-ID"/>
        </w:rPr>
        <w:t>: 1982, hlm. 24</w:t>
      </w:r>
    </w:p>
  </w:footnote>
  <w:footnote w:id="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Richard A. Posner, </w:t>
      </w:r>
      <w:r w:rsidRPr="00B611A3">
        <w:rPr>
          <w:rFonts w:ascii="Book Antiqua" w:hAnsi="Book Antiqua"/>
          <w:i/>
          <w:sz w:val="18"/>
          <w:szCs w:val="18"/>
          <w:lang w:val="id-ID"/>
        </w:rPr>
        <w:t>The Problems of Jurisprudence</w:t>
      </w:r>
      <w:r w:rsidRPr="00B611A3">
        <w:rPr>
          <w:rFonts w:ascii="Book Antiqua" w:hAnsi="Book Antiqua"/>
          <w:sz w:val="18"/>
          <w:szCs w:val="18"/>
          <w:lang w:val="id-ID"/>
        </w:rPr>
        <w:t>, Harvard University Press, Cambridge: 1990, hlm. 40</w:t>
      </w:r>
    </w:p>
  </w:footnote>
  <w:footnote w:id="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w:t>
      </w:r>
      <w:r w:rsidRPr="00B611A3">
        <w:rPr>
          <w:rFonts w:ascii="Book Antiqua" w:hAnsi="Book Antiqua"/>
          <w:i/>
          <w:sz w:val="18"/>
          <w:szCs w:val="18"/>
        </w:rPr>
        <w:t>Law as a Means to an End</w:t>
      </w:r>
      <w:r w:rsidRPr="00B611A3">
        <w:rPr>
          <w:rFonts w:ascii="Book Antiqua" w:hAnsi="Book Antiqua"/>
          <w:sz w:val="18"/>
          <w:szCs w:val="18"/>
        </w:rPr>
        <w:t>, Cambridge University Press</w:t>
      </w:r>
      <w:r w:rsidRPr="00B611A3">
        <w:rPr>
          <w:rFonts w:ascii="Book Antiqua" w:hAnsi="Book Antiqua"/>
          <w:sz w:val="18"/>
          <w:szCs w:val="18"/>
          <w:lang w:val="id-ID"/>
        </w:rPr>
        <w:t xml:space="preserve">: 2006, hlm. </w:t>
      </w:r>
      <w:r w:rsidRPr="00B611A3">
        <w:rPr>
          <w:rFonts w:ascii="Book Antiqua" w:hAnsi="Book Antiqua"/>
          <w:sz w:val="18"/>
          <w:szCs w:val="18"/>
        </w:rPr>
        <w:t>48</w:t>
      </w:r>
    </w:p>
  </w:footnote>
  <w:footnote w:id="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Theo Huijbers,</w:t>
      </w:r>
      <w:r w:rsidRPr="00B611A3">
        <w:rPr>
          <w:rFonts w:ascii="Book Antiqua" w:hAnsi="Book Antiqua"/>
          <w:i/>
          <w:sz w:val="18"/>
          <w:szCs w:val="18"/>
        </w:rPr>
        <w:t>Filsafat Hukum dalam Lintasan Sejarah</w:t>
      </w:r>
      <w:r w:rsidRPr="00B611A3">
        <w:rPr>
          <w:rFonts w:ascii="Book Antiqua" w:hAnsi="Book Antiqua"/>
          <w:sz w:val="18"/>
          <w:szCs w:val="18"/>
        </w:rPr>
        <w:t>,Kanisius</w:t>
      </w:r>
      <w:r w:rsidRPr="00B611A3">
        <w:rPr>
          <w:rFonts w:ascii="Book Antiqua" w:hAnsi="Book Antiqua"/>
          <w:sz w:val="18"/>
          <w:szCs w:val="18"/>
          <w:lang w:val="id-ID"/>
        </w:rPr>
        <w:t xml:space="preserve">, </w:t>
      </w:r>
      <w:r w:rsidRPr="00B611A3">
        <w:rPr>
          <w:rFonts w:ascii="Book Antiqua" w:hAnsi="Book Antiqua"/>
          <w:sz w:val="18"/>
          <w:szCs w:val="18"/>
        </w:rPr>
        <w:t>Yogyakarta</w:t>
      </w:r>
      <w:r w:rsidRPr="00B611A3">
        <w:rPr>
          <w:rFonts w:ascii="Book Antiqua" w:hAnsi="Book Antiqua"/>
          <w:sz w:val="18"/>
          <w:szCs w:val="18"/>
          <w:lang w:val="id-ID"/>
        </w:rPr>
        <w:t xml:space="preserve">: 1990, hlm. </w:t>
      </w:r>
      <w:r w:rsidRPr="00B611A3">
        <w:rPr>
          <w:rFonts w:ascii="Book Antiqua" w:hAnsi="Book Antiqua"/>
          <w:sz w:val="18"/>
          <w:szCs w:val="18"/>
        </w:rPr>
        <w:t>16</w:t>
      </w:r>
    </w:p>
  </w:footnote>
  <w:footnote w:id="3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w:t>
      </w:r>
      <w:r w:rsidRPr="00B611A3">
        <w:rPr>
          <w:rFonts w:ascii="Book Antiqua" w:hAnsi="Book Antiqua"/>
          <w:sz w:val="18"/>
          <w:szCs w:val="18"/>
          <w:lang w:val="id-ID"/>
        </w:rPr>
        <w:t>The Historical School Against Codification: Savigny, Carter and the Defeat of the New York Civil Code,” American Journal of Comparative Law, Vol.37, hlm. 95-97, 1989, dalam Atip Latipulhayat,“Friedrich Karl Von Savigny”,Padjadjaran Jurnal Ilmu Hukum, Vol.2, No.1, hlm. 199, 2015</w:t>
      </w:r>
    </w:p>
  </w:footnote>
  <w:footnote w:id="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w:t>
      </w:r>
      <w:r w:rsidRPr="00B611A3">
        <w:rPr>
          <w:rFonts w:ascii="Book Antiqua" w:hAnsi="Book Antiqua"/>
          <w:i/>
          <w:sz w:val="18"/>
          <w:szCs w:val="18"/>
          <w:lang w:val="id-ID"/>
        </w:rPr>
        <w:t>On Law and Justice</w:t>
      </w:r>
      <w:r w:rsidRPr="00B611A3">
        <w:rPr>
          <w:rFonts w:ascii="Book Antiqua" w:hAnsi="Book Antiqua"/>
          <w:sz w:val="18"/>
          <w:szCs w:val="18"/>
          <w:lang w:val="id-ID"/>
        </w:rPr>
        <w:t xml:space="preserve">, The Law Book Exchange. Ltd, USA: 1959, hlm. 38,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202</w:t>
      </w:r>
    </w:p>
  </w:footnote>
  <w:footnote w:id="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w:t>
      </w:r>
      <w:r w:rsidRPr="00B611A3">
        <w:rPr>
          <w:rFonts w:ascii="Book Antiqua" w:hAnsi="Book Antiqua"/>
          <w:sz w:val="18"/>
          <w:szCs w:val="18"/>
          <w:lang w:val="id-ID"/>
        </w:rPr>
        <w:t xml:space="preserve">, Associated General publications. LTD, Sydney: 1946, hlm. 421-422, dalam Atip Latipulhayat, Ibid, hlm. 197    </w:t>
      </w:r>
    </w:p>
  </w:footnote>
  <w:footnote w:id="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John Macdonell and Edward Manson, </w:t>
      </w:r>
      <w:r w:rsidRPr="00B611A3">
        <w:rPr>
          <w:rFonts w:ascii="Book Antiqua" w:hAnsi="Book Antiqua"/>
          <w:i/>
          <w:sz w:val="18"/>
          <w:szCs w:val="18"/>
          <w:lang w:val="id-ID"/>
        </w:rPr>
        <w:t>Great Jurists of the World</w:t>
      </w:r>
      <w:r w:rsidRPr="00B611A3">
        <w:rPr>
          <w:rFonts w:ascii="Book Antiqua" w:hAnsi="Book Antiqua"/>
          <w:sz w:val="18"/>
          <w:szCs w:val="18"/>
          <w:lang w:val="id-ID"/>
        </w:rPr>
        <w:t>, Little Brown and Company, Boston: 1914, hlm. 573, dalam Atip Latipulhayat,</w:t>
      </w:r>
      <w:r w:rsidRPr="00B611A3">
        <w:rPr>
          <w:rFonts w:ascii="Book Antiqua" w:hAnsi="Book Antiqua"/>
          <w:i/>
          <w:sz w:val="18"/>
          <w:szCs w:val="18"/>
          <w:lang w:val="id-ID"/>
        </w:rPr>
        <w:t>Loc. Cit</w:t>
      </w:r>
      <w:r w:rsidRPr="00B611A3">
        <w:rPr>
          <w:rFonts w:ascii="Book Antiqua" w:hAnsi="Book Antiqua"/>
          <w:sz w:val="18"/>
          <w:szCs w:val="18"/>
          <w:lang w:val="id-ID"/>
        </w:rPr>
        <w:t xml:space="preserve">, hlm. 197 </w:t>
      </w:r>
    </w:p>
  </w:footnote>
  <w:footnote w:id="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Hienrich Rommen, </w:t>
      </w:r>
      <w:r w:rsidRPr="00B611A3">
        <w:rPr>
          <w:rFonts w:ascii="Book Antiqua" w:hAnsi="Book Antiqua"/>
          <w:i/>
          <w:sz w:val="18"/>
          <w:szCs w:val="18"/>
          <w:lang w:val="id-ID"/>
        </w:rPr>
        <w:t>The Natural Law: A Study in Legal Social History and Philosopy</w:t>
      </w:r>
      <w:r w:rsidRPr="00B611A3">
        <w:rPr>
          <w:rFonts w:ascii="Book Antiqua" w:hAnsi="Book Antiqua"/>
          <w:sz w:val="18"/>
          <w:szCs w:val="18"/>
          <w:lang w:val="id-ID"/>
        </w:rPr>
        <w:t>, Transt. Thomas Hanley, Liberty Fund, Indianapolis: 1936, hlm. 116, dalam Atip Latipulhayat</w:t>
      </w:r>
      <w:r w:rsidRPr="00B611A3">
        <w:rPr>
          <w:rFonts w:ascii="Book Antiqua" w:hAnsi="Book Antiqua"/>
          <w:i/>
          <w:sz w:val="18"/>
          <w:szCs w:val="18"/>
          <w:lang w:val="id-ID"/>
        </w:rPr>
        <w:t>, Loc.Cit</w:t>
      </w:r>
      <w:r w:rsidRPr="00B611A3">
        <w:rPr>
          <w:rFonts w:ascii="Book Antiqua" w:hAnsi="Book Antiqua"/>
          <w:sz w:val="18"/>
          <w:szCs w:val="18"/>
          <w:lang w:val="id-ID"/>
        </w:rPr>
        <w:t>, hlm. 202</w:t>
      </w:r>
    </w:p>
  </w:footnote>
  <w:footnote w:id="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Hari Chand, </w:t>
      </w:r>
      <w:r w:rsidRPr="00B611A3">
        <w:rPr>
          <w:rFonts w:ascii="Book Antiqua" w:hAnsi="Book Antiqua"/>
          <w:i/>
          <w:sz w:val="18"/>
          <w:szCs w:val="18"/>
          <w:lang w:val="id-ID"/>
        </w:rPr>
        <w:t>Modern Jurisprudence</w:t>
      </w:r>
      <w:r w:rsidRPr="00B611A3">
        <w:rPr>
          <w:rFonts w:ascii="Book Antiqua" w:hAnsi="Book Antiqua"/>
          <w:sz w:val="18"/>
          <w:szCs w:val="18"/>
          <w:lang w:val="id-ID"/>
        </w:rPr>
        <w:t xml:space="preserve">, International Law Book Services, Petaling Jaya: 2005, hlm. 160-161, dalam Atip Latipul hayat, </w:t>
      </w:r>
      <w:r w:rsidRPr="00B611A3">
        <w:rPr>
          <w:rFonts w:ascii="Book Antiqua" w:hAnsi="Book Antiqua"/>
          <w:i/>
          <w:sz w:val="18"/>
          <w:szCs w:val="18"/>
          <w:lang w:val="id-ID"/>
        </w:rPr>
        <w:t>Ibid,</w:t>
      </w:r>
      <w:r w:rsidRPr="00B611A3">
        <w:rPr>
          <w:rFonts w:ascii="Book Antiqua" w:hAnsi="Book Antiqua"/>
          <w:sz w:val="18"/>
          <w:szCs w:val="18"/>
          <w:lang w:val="id-ID"/>
        </w:rPr>
        <w:t>hlm. 200</w:t>
      </w:r>
    </w:p>
  </w:footnote>
  <w:footnote w:id="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Luis Kutner, “Savigny: German Lawgiver”, Marquatte Law Review, Vol.55, hlm. 283, 1972, dalam Atip Latipulhayat</w:t>
      </w:r>
      <w:r w:rsidRPr="00B611A3">
        <w:rPr>
          <w:rFonts w:ascii="Book Antiqua" w:hAnsi="Book Antiqua"/>
          <w:i/>
          <w:sz w:val="18"/>
          <w:szCs w:val="18"/>
          <w:lang w:val="id-ID"/>
        </w:rPr>
        <w:t>, Loc. Cit</w:t>
      </w:r>
      <w:r w:rsidRPr="00B611A3">
        <w:rPr>
          <w:rFonts w:ascii="Book Antiqua" w:hAnsi="Book Antiqua"/>
          <w:sz w:val="18"/>
          <w:szCs w:val="18"/>
          <w:lang w:val="id-ID"/>
        </w:rPr>
        <w:t>, hlm. 200</w:t>
      </w:r>
    </w:p>
  </w:footnote>
  <w:footnote w:id="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w:t>
      </w:r>
      <w:r w:rsidRPr="00B611A3">
        <w:rPr>
          <w:rFonts w:ascii="Book Antiqua" w:hAnsi="Book Antiqua"/>
          <w:sz w:val="18"/>
          <w:szCs w:val="18"/>
          <w:lang w:val="id-ID"/>
        </w:rPr>
        <w:t xml:space="preserve">, Associated General Publications. Pty. Ltd, Sydney: 1946, hlm. 435-437,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203</w:t>
      </w:r>
    </w:p>
  </w:footnote>
  <w:footnote w:id="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Leopold Pospisil, </w:t>
      </w:r>
      <w:r w:rsidRPr="00B611A3">
        <w:rPr>
          <w:rFonts w:ascii="Book Antiqua" w:hAnsi="Book Antiqua"/>
          <w:i/>
          <w:sz w:val="18"/>
          <w:szCs w:val="18"/>
          <w:lang w:val="id-ID"/>
        </w:rPr>
        <w:t>Anthropology of Law: A Comparative Theory</w:t>
      </w:r>
      <w:r w:rsidRPr="00B611A3">
        <w:rPr>
          <w:rFonts w:ascii="Book Antiqua" w:hAnsi="Book Antiqua"/>
          <w:sz w:val="18"/>
          <w:szCs w:val="18"/>
          <w:lang w:val="id-ID"/>
        </w:rPr>
        <w:t>, Willey, USA: 1971, hlm. 142, dalam Atip Latipulhayat</w:t>
      </w:r>
      <w:r w:rsidRPr="00B611A3">
        <w:rPr>
          <w:rFonts w:ascii="Book Antiqua" w:hAnsi="Book Antiqua"/>
          <w:i/>
          <w:sz w:val="18"/>
          <w:szCs w:val="18"/>
          <w:lang w:val="id-ID"/>
        </w:rPr>
        <w:t xml:space="preserve">, Ibid, </w:t>
      </w:r>
      <w:r w:rsidRPr="00B611A3">
        <w:rPr>
          <w:rFonts w:ascii="Book Antiqua" w:hAnsi="Book Antiqua"/>
          <w:sz w:val="18"/>
          <w:szCs w:val="18"/>
          <w:lang w:val="id-ID"/>
        </w:rPr>
        <w:t>hlm. 201</w:t>
      </w:r>
    </w:p>
  </w:footnote>
  <w:footnote w:id="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Op. Cit, </w:t>
      </w:r>
      <w:r w:rsidRPr="00B611A3">
        <w:rPr>
          <w:rFonts w:ascii="Book Antiqua" w:hAnsi="Book Antiqua"/>
          <w:sz w:val="18"/>
          <w:szCs w:val="18"/>
          <w:lang w:val="id-ID"/>
        </w:rPr>
        <w:t xml:space="preserve">hlm. 421, dalam Atip Latipul hayat, </w:t>
      </w:r>
      <w:r w:rsidRPr="00B611A3">
        <w:rPr>
          <w:rFonts w:ascii="Book Antiqua" w:hAnsi="Book Antiqua"/>
          <w:i/>
          <w:sz w:val="18"/>
          <w:szCs w:val="18"/>
          <w:lang w:val="id-ID"/>
        </w:rPr>
        <w:t>Loc. Cit</w:t>
      </w:r>
      <w:r w:rsidRPr="00B611A3">
        <w:rPr>
          <w:rFonts w:ascii="Book Antiqua" w:hAnsi="Book Antiqua"/>
          <w:sz w:val="18"/>
          <w:szCs w:val="18"/>
          <w:lang w:val="id-ID"/>
        </w:rPr>
        <w:t>, hlm. 202</w:t>
      </w:r>
    </w:p>
  </w:footnote>
  <w:footnote w:id="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Andrew Hamilton, </w:t>
      </w:r>
      <w:r w:rsidRPr="00B611A3">
        <w:rPr>
          <w:rFonts w:ascii="Book Antiqua" w:hAnsi="Book Antiqua"/>
          <w:i/>
          <w:sz w:val="18"/>
          <w:szCs w:val="18"/>
          <w:lang w:val="id-ID"/>
        </w:rPr>
        <w:t>Savigny: The Volksgeist &amp; Law</w:t>
      </w:r>
      <w:r w:rsidRPr="00B611A3">
        <w:rPr>
          <w:rFonts w:ascii="Book Antiqua" w:hAnsi="Book Antiqua"/>
          <w:sz w:val="18"/>
          <w:szCs w:val="18"/>
          <w:lang w:val="id-ID"/>
        </w:rPr>
        <w:t xml:space="preserve">, dalam Atip Latipulhayat, </w:t>
      </w:r>
      <w:r w:rsidRPr="00B611A3">
        <w:rPr>
          <w:rFonts w:ascii="Book Antiqua" w:hAnsi="Book Antiqua"/>
          <w:i/>
          <w:sz w:val="18"/>
          <w:szCs w:val="18"/>
          <w:lang w:val="id-ID"/>
        </w:rPr>
        <w:t xml:space="preserve">Ibid, </w:t>
      </w:r>
      <w:r w:rsidRPr="00B611A3">
        <w:rPr>
          <w:rFonts w:ascii="Book Antiqua" w:hAnsi="Book Antiqua"/>
          <w:sz w:val="18"/>
          <w:szCs w:val="18"/>
          <w:lang w:val="id-ID"/>
        </w:rPr>
        <w:t>hlm. 204</w:t>
      </w:r>
    </w:p>
  </w:footnote>
  <w:footnote w:id="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Julius Stone</w:t>
      </w:r>
      <w:r w:rsidRPr="00B611A3">
        <w:rPr>
          <w:rFonts w:ascii="Book Antiqua" w:hAnsi="Book Antiqua"/>
          <w:sz w:val="18"/>
          <w:szCs w:val="18"/>
          <w:lang w:val="id-ID"/>
        </w:rPr>
        <w:t xml:space="preserve">, </w:t>
      </w:r>
      <w:r w:rsidRPr="00B611A3">
        <w:rPr>
          <w:rFonts w:ascii="Book Antiqua" w:hAnsi="Book Antiqua"/>
          <w:i/>
          <w:sz w:val="18"/>
          <w:szCs w:val="18"/>
          <w:lang w:val="id-ID"/>
        </w:rPr>
        <w:t>Social Dimensions of Law and Justice</w:t>
      </w:r>
      <w:r w:rsidRPr="00B611A3">
        <w:rPr>
          <w:rFonts w:ascii="Book Antiqua" w:hAnsi="Book Antiqua"/>
          <w:sz w:val="18"/>
          <w:szCs w:val="18"/>
          <w:lang w:val="id-ID"/>
        </w:rPr>
        <w:t xml:space="preserve">, Steven, USA: 1966, hlm. 88-89, dalam Atip Latipul hayat, </w:t>
      </w:r>
      <w:r w:rsidRPr="00B611A3">
        <w:rPr>
          <w:rFonts w:ascii="Book Antiqua" w:hAnsi="Book Antiqua"/>
          <w:i/>
          <w:sz w:val="18"/>
          <w:szCs w:val="18"/>
          <w:lang w:val="id-ID"/>
        </w:rPr>
        <w:t xml:space="preserve">Loc. Cit, </w:t>
      </w:r>
      <w:r w:rsidRPr="00B611A3">
        <w:rPr>
          <w:rFonts w:ascii="Book Antiqua" w:hAnsi="Book Antiqua"/>
          <w:sz w:val="18"/>
          <w:szCs w:val="18"/>
          <w:lang w:val="id-ID"/>
        </w:rPr>
        <w:t>hlm. 202</w:t>
      </w:r>
    </w:p>
  </w:footnote>
  <w:footnote w:id="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w:t>
      </w:r>
      <w:r w:rsidRPr="00B611A3">
        <w:rPr>
          <w:rFonts w:ascii="Book Antiqua" w:hAnsi="Book Antiqua"/>
          <w:sz w:val="18"/>
          <w:szCs w:val="18"/>
          <w:lang w:val="id-ID"/>
        </w:rPr>
        <w:t xml:space="preserve"> </w:t>
      </w:r>
      <w:r w:rsidRPr="00B611A3">
        <w:rPr>
          <w:rFonts w:ascii="Book Antiqua" w:hAnsi="Book Antiqua"/>
          <w:sz w:val="18"/>
          <w:szCs w:val="18"/>
        </w:rPr>
        <w:t xml:space="preserve">ujun Suriasumantri, </w:t>
      </w:r>
      <w:r w:rsidRPr="00B611A3">
        <w:rPr>
          <w:rFonts w:ascii="Book Antiqua" w:hAnsi="Book Antiqua"/>
          <w:i/>
          <w:sz w:val="18"/>
          <w:szCs w:val="18"/>
          <w:lang w:val="id-ID"/>
        </w:rPr>
        <w:t>Op. Cit</w:t>
      </w:r>
      <w:r w:rsidRPr="00B611A3">
        <w:rPr>
          <w:rFonts w:ascii="Book Antiqua" w:hAnsi="Book Antiqua"/>
          <w:sz w:val="18"/>
          <w:szCs w:val="18"/>
          <w:lang w:val="id-ID"/>
        </w:rPr>
        <w:t xml:space="preserve">, hlm. </w:t>
      </w:r>
      <w:r w:rsidRPr="00B611A3">
        <w:rPr>
          <w:rFonts w:ascii="Book Antiqua" w:hAnsi="Book Antiqua"/>
          <w:sz w:val="18"/>
          <w:szCs w:val="18"/>
        </w:rPr>
        <w:t>33</w:t>
      </w:r>
    </w:p>
  </w:footnote>
  <w:footnote w:id="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hlm. 42-45 dan 50-53</w:t>
      </w:r>
    </w:p>
  </w:footnote>
  <w:footnote w:id="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xml:space="preserve">, hlm. </w:t>
      </w:r>
      <w:r w:rsidRPr="00B611A3">
        <w:rPr>
          <w:rFonts w:ascii="Book Antiqua" w:hAnsi="Book Antiqua"/>
          <w:sz w:val="18"/>
          <w:szCs w:val="18"/>
        </w:rPr>
        <w:t>33</w:t>
      </w:r>
    </w:p>
  </w:footnote>
  <w:footnote w:id="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hlm. 50-53</w:t>
      </w:r>
    </w:p>
  </w:footnote>
  <w:footnote w:id="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w:t>
      </w:r>
      <w:r w:rsidRPr="00B611A3">
        <w:rPr>
          <w:rFonts w:ascii="Book Antiqua" w:hAnsi="Book Antiqua"/>
          <w:sz w:val="18"/>
          <w:szCs w:val="18"/>
          <w:lang w:val="id-ID"/>
        </w:rPr>
        <w:t xml:space="preserve"> </w:t>
      </w:r>
      <w:r w:rsidRPr="00B611A3">
        <w:rPr>
          <w:rFonts w:ascii="Book Antiqua" w:hAnsi="Book Antiqua"/>
          <w:sz w:val="18"/>
          <w:szCs w:val="18"/>
        </w:rPr>
        <w:t xml:space="preserve">Jujun Suriasumantri, </w:t>
      </w:r>
      <w:r w:rsidRPr="00B611A3">
        <w:rPr>
          <w:rFonts w:ascii="Book Antiqua" w:hAnsi="Book Antiqua"/>
          <w:i/>
          <w:sz w:val="18"/>
          <w:szCs w:val="18"/>
          <w:lang w:val="id-ID"/>
        </w:rPr>
        <w:t>Ibid</w:t>
      </w:r>
      <w:r w:rsidRPr="00B611A3">
        <w:rPr>
          <w:rFonts w:ascii="Book Antiqua" w:hAnsi="Book Antiqua"/>
          <w:sz w:val="18"/>
          <w:szCs w:val="18"/>
          <w:lang w:val="id-ID"/>
        </w:rPr>
        <w:t xml:space="preserve">, hlm. </w:t>
      </w:r>
      <w:r w:rsidRPr="00B611A3">
        <w:rPr>
          <w:rFonts w:ascii="Book Antiqua" w:hAnsi="Book Antiqua"/>
          <w:sz w:val="18"/>
          <w:szCs w:val="18"/>
        </w:rPr>
        <w:t>33</w:t>
      </w:r>
      <w:r w:rsidRPr="00B611A3">
        <w:rPr>
          <w:rFonts w:ascii="Book Antiqua" w:hAnsi="Book Antiqua"/>
          <w:sz w:val="18"/>
          <w:szCs w:val="18"/>
          <w:lang w:val="id-ID"/>
        </w:rPr>
        <w:t>-35</w:t>
      </w:r>
    </w:p>
  </w:footnote>
  <w:footnote w:id="52">
    <w:p w:rsidR="004E75CF" w:rsidRPr="00B611A3" w:rsidRDefault="004E75CF" w:rsidP="00B611A3">
      <w:pPr>
        <w:pStyle w:val="FootnoteText"/>
        <w:jc w:val="both"/>
        <w:rPr>
          <w:rFonts w:ascii="Book Antiqua" w:hAnsi="Book Antiqua" w:cs="Times New Roman"/>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Ziauddin Sardar</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Merombak Pola Pikir Intelektual Muslim</w:t>
      </w:r>
      <w:r w:rsidRPr="00B611A3">
        <w:rPr>
          <w:rFonts w:ascii="Book Antiqua" w:hAnsi="Book Antiqua" w:cs="Times New Roman"/>
          <w:sz w:val="18"/>
          <w:szCs w:val="18"/>
        </w:rPr>
        <w:t>, terj</w:t>
      </w:r>
      <w:r w:rsidRPr="00B611A3">
        <w:rPr>
          <w:rFonts w:ascii="Book Antiqua" w:hAnsi="Book Antiqua" w:cs="Times New Roman"/>
          <w:sz w:val="18"/>
          <w:szCs w:val="18"/>
          <w:lang w:val="id-ID"/>
        </w:rPr>
        <w:t>emah.</w:t>
      </w:r>
      <w:r w:rsidRPr="00B611A3">
        <w:rPr>
          <w:rFonts w:ascii="Book Antiqua" w:hAnsi="Book Antiqua" w:cs="Times New Roman"/>
          <w:sz w:val="18"/>
          <w:szCs w:val="18"/>
        </w:rPr>
        <w:t>Agung Prihantoro</w:t>
      </w:r>
      <w:r w:rsidRPr="00B611A3">
        <w:rPr>
          <w:rFonts w:ascii="Book Antiqua" w:hAnsi="Book Antiqua" w:cs="Times New Roman"/>
          <w:sz w:val="18"/>
          <w:szCs w:val="18"/>
          <w:lang w:val="id-ID"/>
        </w:rPr>
        <w:t xml:space="preserve"> dan </w:t>
      </w:r>
      <w:r w:rsidRPr="00B611A3">
        <w:rPr>
          <w:rFonts w:ascii="Book Antiqua" w:hAnsi="Book Antiqua" w:cs="Times New Roman"/>
          <w:sz w:val="18"/>
          <w:szCs w:val="18"/>
        </w:rPr>
        <w:t>Fuad A.F</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Pustaka Pelajar,</w:t>
      </w:r>
      <w:r w:rsidRPr="00B611A3">
        <w:rPr>
          <w:rFonts w:ascii="Book Antiqua" w:hAnsi="Book Antiqua" w:cs="Times New Roman"/>
          <w:sz w:val="18"/>
          <w:szCs w:val="18"/>
          <w:lang w:val="id-ID"/>
        </w:rPr>
        <w:t>Yogyakarta: 2000,hlm. 23</w:t>
      </w:r>
    </w:p>
  </w:footnote>
  <w:footnote w:id="53">
    <w:p w:rsidR="004E75CF" w:rsidRPr="00B611A3" w:rsidRDefault="004E75CF" w:rsidP="00B611A3">
      <w:pPr>
        <w:pStyle w:val="FootnoteText"/>
        <w:jc w:val="both"/>
        <w:rPr>
          <w:rFonts w:ascii="Book Antiqua" w:hAnsi="Book Antiqua" w:cs="Times New Roman"/>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Muhammad Abed a</w:t>
      </w:r>
      <w:r w:rsidRPr="00B611A3">
        <w:rPr>
          <w:rFonts w:ascii="Book Antiqua" w:hAnsi="Book Antiqua" w:cs="Times New Roman"/>
          <w:sz w:val="18"/>
          <w:szCs w:val="18"/>
        </w:rPr>
        <w:t>l-Jabiri</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Kritik Kontemporer Atas Filsafat Arab-Islam</w:t>
      </w:r>
      <w:r w:rsidRPr="00B611A3">
        <w:rPr>
          <w:rFonts w:ascii="Book Antiqua" w:hAnsi="Book Antiqua" w:cs="Times New Roman"/>
          <w:sz w:val="18"/>
          <w:szCs w:val="18"/>
        </w:rPr>
        <w:t>,</w:t>
      </w:r>
      <w:r w:rsidRPr="00B611A3">
        <w:rPr>
          <w:rFonts w:ascii="Book Antiqua" w:hAnsi="Book Antiqua" w:cs="Times New Roman"/>
          <w:sz w:val="18"/>
          <w:szCs w:val="18"/>
          <w:lang w:val="id-ID"/>
        </w:rPr>
        <w:t xml:space="preserve"> terjemah. </w:t>
      </w:r>
      <w:r w:rsidRPr="00B611A3">
        <w:rPr>
          <w:rFonts w:ascii="Book Antiqua" w:hAnsi="Book Antiqua" w:cs="Times New Roman"/>
          <w:sz w:val="18"/>
          <w:szCs w:val="18"/>
        </w:rPr>
        <w:t>Moch Nur Ichwan,Islamika,Yogyakarta</w:t>
      </w:r>
      <w:r w:rsidRPr="00B611A3">
        <w:rPr>
          <w:rFonts w:ascii="Book Antiqua" w:hAnsi="Book Antiqua" w:cs="Times New Roman"/>
          <w:sz w:val="18"/>
          <w:szCs w:val="18"/>
          <w:lang w:val="id-ID"/>
        </w:rPr>
        <w:t xml:space="preserve">: 2003, hlm. </w:t>
      </w:r>
      <w:r w:rsidRPr="00B611A3">
        <w:rPr>
          <w:rFonts w:ascii="Book Antiqua" w:hAnsi="Book Antiqua" w:cs="Times New Roman"/>
          <w:sz w:val="18"/>
          <w:szCs w:val="18"/>
        </w:rPr>
        <w:t>1-3</w:t>
      </w:r>
    </w:p>
  </w:footnote>
  <w:footnote w:id="5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Amin Abdu</w:t>
      </w:r>
      <w:r w:rsidRPr="00B611A3">
        <w:rPr>
          <w:rFonts w:ascii="Book Antiqua" w:hAnsi="Book Antiqua" w:cs="Times New Roman"/>
          <w:sz w:val="18"/>
          <w:szCs w:val="18"/>
          <w:lang w:val="id-ID"/>
        </w:rPr>
        <w:t>ll</w:t>
      </w:r>
      <w:r w:rsidRPr="00B611A3">
        <w:rPr>
          <w:rFonts w:ascii="Book Antiqua" w:hAnsi="Book Antiqua" w:cs="Times New Roman"/>
          <w:sz w:val="18"/>
          <w:szCs w:val="18"/>
        </w:rPr>
        <w:t>ah,</w:t>
      </w:r>
      <w:r w:rsidRPr="00B611A3">
        <w:rPr>
          <w:rFonts w:ascii="Book Antiqua" w:hAnsi="Book Antiqua" w:cs="Times New Roman"/>
          <w:i/>
          <w:sz w:val="18"/>
          <w:szCs w:val="18"/>
        </w:rPr>
        <w:t>Studi Agama Normativitas atau Historitas</w:t>
      </w:r>
      <w:r w:rsidRPr="00B611A3">
        <w:rPr>
          <w:rFonts w:ascii="Book Antiqua" w:hAnsi="Book Antiqua" w:cs="Times New Roman"/>
          <w:sz w:val="18"/>
          <w:szCs w:val="18"/>
        </w:rPr>
        <w:t>,PustakaPelajar, Yogyakarta</w:t>
      </w:r>
      <w:r w:rsidRPr="00B611A3">
        <w:rPr>
          <w:rFonts w:ascii="Book Antiqua" w:hAnsi="Book Antiqua" w:cs="Times New Roman"/>
          <w:sz w:val="18"/>
          <w:szCs w:val="18"/>
          <w:lang w:val="id-ID"/>
        </w:rPr>
        <w:t xml:space="preserve">: 1999, hlm. </w:t>
      </w:r>
      <w:r w:rsidRPr="00B611A3">
        <w:rPr>
          <w:rFonts w:ascii="Book Antiqua" w:hAnsi="Book Antiqua" w:cs="Times New Roman"/>
          <w:sz w:val="18"/>
          <w:szCs w:val="18"/>
        </w:rPr>
        <w:t>244</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AhmadKharis Zubair,</w:t>
      </w:r>
      <w:r w:rsidRPr="00B611A3">
        <w:rPr>
          <w:rFonts w:ascii="Book Antiqua" w:hAnsi="Book Antiqua" w:cs="Times New Roman"/>
          <w:i/>
          <w:sz w:val="18"/>
          <w:szCs w:val="18"/>
        </w:rPr>
        <w:t>Filsafat Islam</w:t>
      </w:r>
      <w:r w:rsidRPr="00B611A3">
        <w:rPr>
          <w:rFonts w:ascii="Book Antiqua" w:hAnsi="Book Antiqua" w:cs="Times New Roman"/>
          <w:sz w:val="18"/>
          <w:szCs w:val="18"/>
        </w:rPr>
        <w:t>,Lembaga Studi FilsafatIslam, Yogyakarta</w:t>
      </w:r>
      <w:r w:rsidRPr="00B611A3">
        <w:rPr>
          <w:rFonts w:ascii="Book Antiqua" w:hAnsi="Book Antiqua" w:cs="Times New Roman"/>
          <w:sz w:val="18"/>
          <w:szCs w:val="18"/>
          <w:lang w:val="id-ID"/>
        </w:rPr>
        <w:t xml:space="preserve">: 1992, hlm. </w:t>
      </w:r>
      <w:r w:rsidRPr="00B611A3">
        <w:rPr>
          <w:rFonts w:ascii="Book Antiqua" w:hAnsi="Book Antiqua" w:cs="Times New Roman"/>
          <w:sz w:val="18"/>
          <w:szCs w:val="18"/>
        </w:rPr>
        <w:t>35</w:t>
      </w:r>
      <w:r w:rsidRPr="00B611A3">
        <w:rPr>
          <w:rFonts w:ascii="Book Antiqua" w:hAnsi="Book Antiqua" w:cs="Times New Roman"/>
          <w:sz w:val="18"/>
          <w:szCs w:val="18"/>
          <w:lang w:val="id-ID"/>
        </w:rPr>
        <w:t>-</w:t>
      </w:r>
      <w:r w:rsidRPr="00B611A3">
        <w:rPr>
          <w:rFonts w:ascii="Book Antiqua" w:hAnsi="Book Antiqua" w:cs="Times New Roman"/>
          <w:sz w:val="18"/>
          <w:szCs w:val="18"/>
        </w:rPr>
        <w:t>36</w:t>
      </w:r>
    </w:p>
  </w:footnote>
  <w:footnote w:id="5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Mulyadi Kertanegara,</w:t>
      </w:r>
      <w:r w:rsidRPr="00B611A3">
        <w:rPr>
          <w:rFonts w:ascii="Book Antiqua" w:hAnsi="Book Antiqua" w:cs="Times New Roman"/>
          <w:i/>
          <w:sz w:val="18"/>
          <w:szCs w:val="18"/>
        </w:rPr>
        <w:t>Integrasi Ilmu, Sebuah Rekonstruksi Holistic</w:t>
      </w:r>
      <w:r w:rsidRPr="00B611A3">
        <w:rPr>
          <w:rFonts w:ascii="Book Antiqua" w:hAnsi="Book Antiqua" w:cs="Times New Roman"/>
          <w:sz w:val="18"/>
          <w:szCs w:val="18"/>
        </w:rPr>
        <w:t>, UIN Jakarta Press</w:t>
      </w:r>
      <w:r w:rsidRPr="00B611A3">
        <w:rPr>
          <w:rFonts w:ascii="Book Antiqua" w:hAnsi="Book Antiqua" w:cs="Times New Roman"/>
          <w:sz w:val="18"/>
          <w:szCs w:val="18"/>
          <w:lang w:val="id-ID"/>
        </w:rPr>
        <w:t xml:space="preserve">: 2005, hlm, 101-102; </w:t>
      </w:r>
      <w:r w:rsidRPr="00B611A3">
        <w:rPr>
          <w:rFonts w:ascii="Book Antiqua" w:hAnsi="Book Antiqua" w:cs="Times New Roman"/>
          <w:sz w:val="18"/>
          <w:szCs w:val="18"/>
        </w:rPr>
        <w:t>Mulyadi Kartanegara</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Panorama Filsafat Islam</w:t>
      </w:r>
      <w:r w:rsidRPr="00B611A3">
        <w:rPr>
          <w:rFonts w:ascii="Book Antiqua" w:hAnsi="Book Antiqua" w:cs="Times New Roman"/>
          <w:i/>
          <w:sz w:val="18"/>
          <w:szCs w:val="18"/>
          <w:lang w:val="id-ID"/>
        </w:rPr>
        <w:t xml:space="preserve">, </w:t>
      </w:r>
      <w:r w:rsidRPr="00B611A3">
        <w:rPr>
          <w:rFonts w:ascii="Book Antiqua" w:hAnsi="Book Antiqua" w:cs="Times New Roman"/>
          <w:sz w:val="18"/>
          <w:szCs w:val="18"/>
        </w:rPr>
        <w:t>Mizan,</w:t>
      </w:r>
      <w:r w:rsidRPr="00B611A3">
        <w:rPr>
          <w:rFonts w:ascii="Book Antiqua" w:hAnsi="Book Antiqua" w:cs="Times New Roman"/>
          <w:sz w:val="18"/>
          <w:szCs w:val="18"/>
          <w:lang w:val="id-ID"/>
        </w:rPr>
        <w:t xml:space="preserve"> Bandung: 2002, hlm. </w:t>
      </w:r>
      <w:r w:rsidRPr="00B611A3">
        <w:rPr>
          <w:rFonts w:ascii="Book Antiqua" w:hAnsi="Book Antiqua" w:cs="Times New Roman"/>
          <w:sz w:val="18"/>
          <w:szCs w:val="18"/>
        </w:rPr>
        <w:t>63</w:t>
      </w:r>
    </w:p>
  </w:footnote>
  <w:footnote w:id="5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w:t>
      </w:r>
      <w:r w:rsidRPr="00B611A3">
        <w:rPr>
          <w:rFonts w:ascii="Book Antiqua" w:hAnsi="Book Antiqua" w:cs="Times New Roman"/>
          <w:sz w:val="18"/>
          <w:szCs w:val="18"/>
          <w:lang w:val="id-ID"/>
        </w:rPr>
        <w:t>.</w:t>
      </w:r>
      <w:r w:rsidRPr="00B611A3">
        <w:rPr>
          <w:rFonts w:ascii="Book Antiqua" w:hAnsi="Book Antiqua" w:cs="Times New Roman"/>
          <w:sz w:val="18"/>
          <w:szCs w:val="18"/>
        </w:rPr>
        <w:t>Sal-Mukminun</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78</w:t>
      </w:r>
    </w:p>
  </w:footnote>
  <w:footnote w:id="5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Q.Sal-Baqarah</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72, 242; Q.SYusuf</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2; Q.Sal-Nur</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61; Q.Sal-Zukhruf</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3; Q.Sal</w:t>
      </w:r>
      <w:r w:rsidRPr="00B611A3">
        <w:rPr>
          <w:rFonts w:ascii="Book Antiqua" w:hAnsi="Book Antiqua" w:cs="Times New Roman"/>
          <w:sz w:val="18"/>
          <w:szCs w:val="18"/>
          <w:lang w:val="id-ID"/>
        </w:rPr>
        <w:t>-</w:t>
      </w:r>
      <w:r w:rsidRPr="00B611A3">
        <w:rPr>
          <w:rFonts w:ascii="Book Antiqua" w:hAnsi="Book Antiqua" w:cs="Times New Roman"/>
          <w:sz w:val="18"/>
          <w:szCs w:val="18"/>
        </w:rPr>
        <w:t>Hadid</w:t>
      </w:r>
      <w:r w:rsidRPr="00B611A3">
        <w:rPr>
          <w:rFonts w:ascii="Book Antiqua" w:hAnsi="Book Antiqua" w:cs="Times New Roman"/>
          <w:sz w:val="18"/>
          <w:szCs w:val="18"/>
          <w:lang w:val="id-ID"/>
        </w:rPr>
        <w:t xml:space="preserve"> ayat </w:t>
      </w:r>
      <w:r w:rsidRPr="00B611A3">
        <w:rPr>
          <w:rFonts w:ascii="Book Antiqua" w:hAnsi="Book Antiqua" w:cs="Times New Roman"/>
          <w:sz w:val="18"/>
          <w:szCs w:val="18"/>
        </w:rPr>
        <w:t>17</w:t>
      </w:r>
    </w:p>
  </w:footnote>
  <w:footnote w:id="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Q.Sal-Isra</w:t>
      </w:r>
      <w:r w:rsidRPr="00B611A3">
        <w:rPr>
          <w:rFonts w:ascii="Book Antiqua" w:hAnsi="Book Antiqua"/>
          <w:sz w:val="18"/>
          <w:szCs w:val="18"/>
          <w:lang w:val="id-ID"/>
        </w:rPr>
        <w:t xml:space="preserve"> ayat </w:t>
      </w:r>
      <w:r w:rsidRPr="00B611A3">
        <w:rPr>
          <w:rFonts w:ascii="Book Antiqua" w:hAnsi="Book Antiqua"/>
          <w:sz w:val="18"/>
          <w:szCs w:val="18"/>
        </w:rPr>
        <w:t>36.</w:t>
      </w:r>
    </w:p>
  </w:footnote>
  <w:footnote w:id="5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Q.SYunus</w:t>
      </w:r>
      <w:r w:rsidRPr="00B611A3">
        <w:rPr>
          <w:rFonts w:ascii="Book Antiqua" w:hAnsi="Book Antiqua"/>
          <w:sz w:val="18"/>
          <w:szCs w:val="18"/>
          <w:lang w:val="id-ID"/>
        </w:rPr>
        <w:t xml:space="preserve"> ayat </w:t>
      </w:r>
      <w:r w:rsidRPr="00B611A3">
        <w:rPr>
          <w:rFonts w:ascii="Book Antiqua" w:hAnsi="Book Antiqua"/>
          <w:sz w:val="18"/>
          <w:szCs w:val="18"/>
        </w:rPr>
        <w:t>100</w:t>
      </w:r>
      <w:r w:rsidRPr="00B611A3">
        <w:rPr>
          <w:rFonts w:ascii="Book Antiqua" w:hAnsi="Book Antiqua"/>
          <w:sz w:val="18"/>
          <w:szCs w:val="18"/>
          <w:lang w:val="id-ID"/>
        </w:rPr>
        <w:t xml:space="preserve">; </w:t>
      </w:r>
      <w:r w:rsidRPr="00B611A3">
        <w:rPr>
          <w:rFonts w:ascii="Book Antiqua" w:hAnsi="Book Antiqua"/>
          <w:sz w:val="18"/>
          <w:szCs w:val="18"/>
        </w:rPr>
        <w:t>Q.Sal-A’raf</w:t>
      </w:r>
      <w:r w:rsidRPr="00B611A3">
        <w:rPr>
          <w:rFonts w:ascii="Book Antiqua" w:hAnsi="Book Antiqua"/>
          <w:sz w:val="18"/>
          <w:szCs w:val="18"/>
          <w:lang w:val="id-ID"/>
        </w:rPr>
        <w:t xml:space="preserve"> ayat </w:t>
      </w:r>
      <w:r w:rsidRPr="00B611A3">
        <w:rPr>
          <w:rFonts w:ascii="Book Antiqua" w:hAnsi="Book Antiqua"/>
          <w:sz w:val="18"/>
          <w:szCs w:val="18"/>
        </w:rPr>
        <w:t>179.</w:t>
      </w:r>
    </w:p>
  </w:footnote>
  <w:footnote w:id="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Q.SIbrahim</w:t>
      </w:r>
      <w:r w:rsidRPr="00B611A3">
        <w:rPr>
          <w:rFonts w:ascii="Book Antiqua" w:hAnsi="Book Antiqua"/>
          <w:sz w:val="18"/>
          <w:szCs w:val="18"/>
          <w:lang w:val="id-ID"/>
        </w:rPr>
        <w:t xml:space="preserve"> ayat </w:t>
      </w:r>
      <w:r w:rsidRPr="00B611A3">
        <w:rPr>
          <w:rFonts w:ascii="Book Antiqua" w:hAnsi="Book Antiqua"/>
          <w:sz w:val="18"/>
          <w:szCs w:val="18"/>
        </w:rPr>
        <w:t>52; Q.SShad</w:t>
      </w:r>
      <w:r w:rsidRPr="00B611A3">
        <w:rPr>
          <w:rFonts w:ascii="Book Antiqua" w:hAnsi="Book Antiqua"/>
          <w:sz w:val="18"/>
          <w:szCs w:val="18"/>
          <w:lang w:val="id-ID"/>
        </w:rPr>
        <w:t xml:space="preserve"> ayat </w:t>
      </w:r>
      <w:r w:rsidRPr="00B611A3">
        <w:rPr>
          <w:rFonts w:ascii="Book Antiqua" w:hAnsi="Book Antiqua"/>
          <w:sz w:val="18"/>
          <w:szCs w:val="18"/>
        </w:rPr>
        <w:t>29; Q.Sal-Thaghabun</w:t>
      </w:r>
      <w:r w:rsidRPr="00B611A3">
        <w:rPr>
          <w:rFonts w:ascii="Book Antiqua" w:hAnsi="Book Antiqua"/>
          <w:sz w:val="18"/>
          <w:szCs w:val="18"/>
          <w:lang w:val="id-ID"/>
        </w:rPr>
        <w:t xml:space="preserve"> ayat </w:t>
      </w:r>
      <w:r w:rsidRPr="00B611A3">
        <w:rPr>
          <w:rFonts w:ascii="Book Antiqua" w:hAnsi="Book Antiqua"/>
          <w:sz w:val="18"/>
          <w:szCs w:val="18"/>
        </w:rPr>
        <w:t>11.</w:t>
      </w:r>
    </w:p>
  </w:footnote>
  <w:footnote w:id="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Ali Abdul Azhim,</w:t>
      </w:r>
      <w:r w:rsidRPr="00B611A3">
        <w:rPr>
          <w:rFonts w:ascii="Book Antiqua" w:hAnsi="Book Antiqua"/>
          <w:i/>
          <w:sz w:val="18"/>
          <w:szCs w:val="18"/>
        </w:rPr>
        <w:t>Epistemologi dan Aksiologi Perspektif Al-Our’an</w:t>
      </w:r>
      <w:r w:rsidRPr="00B611A3">
        <w:rPr>
          <w:rFonts w:ascii="Book Antiqua" w:hAnsi="Book Antiqua"/>
          <w:sz w:val="18"/>
          <w:szCs w:val="18"/>
        </w:rPr>
        <w:t>,Rosdakarya,Bandung</w:t>
      </w:r>
      <w:r w:rsidRPr="00B611A3">
        <w:rPr>
          <w:rFonts w:ascii="Book Antiqua" w:hAnsi="Book Antiqua"/>
          <w:sz w:val="18"/>
          <w:szCs w:val="18"/>
          <w:lang w:val="id-ID"/>
        </w:rPr>
        <w:t xml:space="preserve">: 1989, hlm. </w:t>
      </w:r>
      <w:r w:rsidRPr="00B611A3">
        <w:rPr>
          <w:rFonts w:ascii="Book Antiqua" w:hAnsi="Book Antiqua"/>
          <w:sz w:val="18"/>
          <w:szCs w:val="18"/>
        </w:rPr>
        <w:t>18</w:t>
      </w:r>
    </w:p>
  </w:footnote>
  <w:footnote w:id="6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Betrand Russel,</w:t>
      </w:r>
      <w:r w:rsidRPr="00B611A3">
        <w:rPr>
          <w:rFonts w:ascii="Book Antiqua" w:hAnsi="Book Antiqua"/>
          <w:i/>
          <w:sz w:val="18"/>
          <w:szCs w:val="18"/>
        </w:rPr>
        <w:t>Sejarah Filsafat Barat dan Kaitannya dengan Kondisi Sosial-Politik Zaman Kuno hingga Sekarang</w:t>
      </w:r>
      <w:r w:rsidRPr="00B611A3">
        <w:rPr>
          <w:rFonts w:ascii="Book Antiqua" w:hAnsi="Book Antiqua"/>
          <w:sz w:val="18"/>
          <w:szCs w:val="18"/>
        </w:rPr>
        <w:t>,</w:t>
      </w:r>
      <w:r w:rsidRPr="00B611A3">
        <w:rPr>
          <w:rFonts w:ascii="Book Antiqua" w:hAnsi="Book Antiqua"/>
          <w:sz w:val="18"/>
          <w:szCs w:val="18"/>
          <w:lang w:val="id-ID"/>
        </w:rPr>
        <w:t xml:space="preserve"> terjemah. </w:t>
      </w:r>
      <w:r w:rsidRPr="00B611A3">
        <w:rPr>
          <w:rFonts w:ascii="Book Antiqua" w:hAnsi="Book Antiqua"/>
          <w:sz w:val="18"/>
          <w:szCs w:val="18"/>
        </w:rPr>
        <w:t>Sigit Jatmiko</w:t>
      </w:r>
      <w:r w:rsidRPr="00B611A3">
        <w:rPr>
          <w:rFonts w:ascii="Book Antiqua" w:hAnsi="Book Antiqua"/>
          <w:sz w:val="18"/>
          <w:szCs w:val="18"/>
          <w:lang w:val="id-ID"/>
        </w:rPr>
        <w:t xml:space="preserve">, </w:t>
      </w:r>
      <w:r w:rsidRPr="00B611A3">
        <w:rPr>
          <w:rFonts w:ascii="Book Antiqua" w:hAnsi="Book Antiqua"/>
          <w:sz w:val="18"/>
          <w:szCs w:val="18"/>
        </w:rPr>
        <w:t>Pustaka Pelajar</w:t>
      </w:r>
      <w:r w:rsidRPr="00B611A3">
        <w:rPr>
          <w:rFonts w:ascii="Book Antiqua" w:hAnsi="Book Antiqua"/>
          <w:sz w:val="18"/>
          <w:szCs w:val="18"/>
          <w:lang w:val="id-ID"/>
        </w:rPr>
        <w:t xml:space="preserve">, </w:t>
      </w:r>
      <w:r w:rsidRPr="00B611A3">
        <w:rPr>
          <w:rFonts w:ascii="Book Antiqua" w:hAnsi="Book Antiqua"/>
          <w:sz w:val="18"/>
          <w:szCs w:val="18"/>
        </w:rPr>
        <w:t>Yogyakarta</w:t>
      </w:r>
      <w:r w:rsidRPr="00B611A3">
        <w:rPr>
          <w:rFonts w:ascii="Book Antiqua" w:hAnsi="Book Antiqua"/>
          <w:sz w:val="18"/>
          <w:szCs w:val="18"/>
          <w:lang w:val="id-ID"/>
        </w:rPr>
        <w:t xml:space="preserve">: 2002, </w:t>
      </w:r>
      <w:r w:rsidRPr="00B611A3">
        <w:rPr>
          <w:rFonts w:ascii="Book Antiqua" w:hAnsi="Book Antiqua"/>
          <w:sz w:val="18"/>
          <w:szCs w:val="18"/>
        </w:rPr>
        <w:t>hl</w:t>
      </w:r>
      <w:r w:rsidRPr="00B611A3">
        <w:rPr>
          <w:rFonts w:ascii="Book Antiqua" w:hAnsi="Book Antiqua"/>
          <w:sz w:val="18"/>
          <w:szCs w:val="18"/>
          <w:lang w:val="id-ID"/>
        </w:rPr>
        <w:t>m</w:t>
      </w:r>
      <w:r w:rsidRPr="00B611A3">
        <w:rPr>
          <w:rFonts w:ascii="Book Antiqua" w:hAnsi="Book Antiqua"/>
          <w:sz w:val="18"/>
          <w:szCs w:val="18"/>
        </w:rPr>
        <w:t>.</w:t>
      </w:r>
      <w:r w:rsidRPr="00B611A3">
        <w:rPr>
          <w:rFonts w:ascii="Book Antiqua" w:hAnsi="Book Antiqua"/>
          <w:sz w:val="18"/>
          <w:szCs w:val="18"/>
          <w:lang w:val="id-ID"/>
        </w:rPr>
        <w:t xml:space="preserve"> 202-206.</w:t>
      </w:r>
    </w:p>
  </w:footnote>
  <w:footnote w:id="6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 Bertens</w:t>
      </w:r>
      <w:r w:rsidRPr="00B611A3">
        <w:rPr>
          <w:rFonts w:ascii="Book Antiqua" w:hAnsi="Book Antiqua"/>
          <w:sz w:val="18"/>
          <w:szCs w:val="18"/>
          <w:lang w:val="id-ID"/>
        </w:rPr>
        <w:t xml:space="preserve">, </w:t>
      </w:r>
      <w:r w:rsidRPr="00B611A3">
        <w:rPr>
          <w:rFonts w:ascii="Book Antiqua" w:hAnsi="Book Antiqua"/>
          <w:i/>
          <w:sz w:val="18"/>
          <w:szCs w:val="18"/>
        </w:rPr>
        <w:t>Ringkasan Sejarah Filsafat</w:t>
      </w:r>
      <w:r w:rsidRPr="00B611A3">
        <w:rPr>
          <w:rFonts w:ascii="Book Antiqua" w:hAnsi="Book Antiqua"/>
          <w:sz w:val="18"/>
          <w:szCs w:val="18"/>
          <w:lang w:val="id-ID"/>
        </w:rPr>
        <w:t xml:space="preserve">, </w:t>
      </w:r>
      <w:r w:rsidRPr="00B611A3">
        <w:rPr>
          <w:rFonts w:ascii="Book Antiqua" w:hAnsi="Book Antiqua"/>
          <w:sz w:val="18"/>
          <w:szCs w:val="18"/>
        </w:rPr>
        <w:t>Kanisius</w:t>
      </w:r>
      <w:r w:rsidRPr="00B611A3">
        <w:rPr>
          <w:rFonts w:ascii="Book Antiqua" w:hAnsi="Book Antiqua"/>
          <w:sz w:val="18"/>
          <w:szCs w:val="18"/>
          <w:lang w:val="id-ID"/>
        </w:rPr>
        <w:t>, Yogyakarta: 1995, hlm. 44-45</w:t>
      </w:r>
    </w:p>
  </w:footnote>
  <w:footnote w:id="6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w:t>
      </w:r>
      <w:r w:rsidRPr="00B611A3">
        <w:rPr>
          <w:rFonts w:ascii="Book Antiqua" w:hAnsi="Book Antiqua"/>
          <w:i/>
          <w:sz w:val="18"/>
          <w:szCs w:val="18"/>
        </w:rPr>
        <w:t>The 100 A Rangking of the Most Influential Persons in History</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Mahbub Junaidi dengan judul: Seratus Tokoh yang Paling Berpengaruh dalamSejarah</w:t>
      </w:r>
      <w:r w:rsidRPr="00B611A3">
        <w:rPr>
          <w:rFonts w:ascii="Book Antiqua" w:hAnsi="Book Antiqua"/>
          <w:sz w:val="18"/>
          <w:szCs w:val="18"/>
          <w:lang w:val="id-ID"/>
        </w:rPr>
        <w:t xml:space="preserve">, </w:t>
      </w:r>
      <w:r w:rsidRPr="00B611A3">
        <w:rPr>
          <w:rFonts w:ascii="Book Antiqua" w:hAnsi="Book Antiqua"/>
          <w:sz w:val="18"/>
          <w:szCs w:val="18"/>
        </w:rPr>
        <w:t>Pustaka Jaya,Jakarta</w:t>
      </w:r>
      <w:r w:rsidRPr="00B611A3">
        <w:rPr>
          <w:rFonts w:ascii="Book Antiqua" w:hAnsi="Book Antiqua"/>
          <w:sz w:val="18"/>
          <w:szCs w:val="18"/>
          <w:lang w:val="id-ID"/>
        </w:rPr>
        <w:t xml:space="preserve">: 1993, hlm. </w:t>
      </w:r>
      <w:r w:rsidRPr="00B611A3">
        <w:rPr>
          <w:rFonts w:ascii="Book Antiqua" w:hAnsi="Book Antiqua"/>
          <w:sz w:val="18"/>
          <w:szCs w:val="18"/>
        </w:rPr>
        <w:t>393</w:t>
      </w:r>
    </w:p>
  </w:footnote>
  <w:footnote w:id="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Shah, A.B</w:t>
      </w:r>
      <w:r w:rsidRPr="00B611A3">
        <w:rPr>
          <w:rFonts w:ascii="Book Antiqua" w:hAnsi="Book Antiqua"/>
          <w:sz w:val="18"/>
          <w:szCs w:val="18"/>
          <w:lang w:val="id-ID"/>
        </w:rPr>
        <w:t xml:space="preserve">, </w:t>
      </w:r>
      <w:r w:rsidRPr="00B611A3">
        <w:rPr>
          <w:rFonts w:ascii="Book Antiqua" w:hAnsi="Book Antiqua"/>
          <w:i/>
          <w:sz w:val="18"/>
          <w:szCs w:val="18"/>
        </w:rPr>
        <w:t>Scientific Method</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Hasan Basari dengan judul:Metodologi Ilmu Pengetahuan,Yayasan Obor,Jakarta</w:t>
      </w:r>
      <w:r w:rsidRPr="00B611A3">
        <w:rPr>
          <w:rFonts w:ascii="Book Antiqua" w:hAnsi="Book Antiqua"/>
          <w:sz w:val="18"/>
          <w:szCs w:val="18"/>
          <w:lang w:val="id-ID"/>
        </w:rPr>
        <w:t>: 1986, hlm. 34-35</w:t>
      </w:r>
    </w:p>
  </w:footnote>
  <w:footnote w:id="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Hadiwijono,</w:t>
      </w:r>
      <w:r w:rsidRPr="00B611A3">
        <w:rPr>
          <w:rFonts w:ascii="Book Antiqua" w:hAnsi="Book Antiqua"/>
          <w:i/>
          <w:sz w:val="18"/>
          <w:szCs w:val="18"/>
        </w:rPr>
        <w:t>Sari Sejarah Filsafat Barat</w:t>
      </w:r>
      <w:r w:rsidRPr="00B611A3">
        <w:rPr>
          <w:rFonts w:ascii="Book Antiqua" w:hAnsi="Book Antiqua"/>
          <w:sz w:val="18"/>
          <w:szCs w:val="18"/>
          <w:lang w:val="id-ID"/>
        </w:rPr>
        <w:t xml:space="preserve">, </w:t>
      </w:r>
      <w:r w:rsidRPr="00B611A3">
        <w:rPr>
          <w:rFonts w:ascii="Book Antiqua" w:hAnsi="Book Antiqua"/>
          <w:sz w:val="18"/>
          <w:szCs w:val="18"/>
        </w:rPr>
        <w:t>Kanisius,Yogyakarta</w:t>
      </w:r>
      <w:r w:rsidRPr="00B611A3">
        <w:rPr>
          <w:rFonts w:ascii="Book Antiqua" w:hAnsi="Book Antiqua"/>
          <w:sz w:val="18"/>
          <w:szCs w:val="18"/>
          <w:lang w:val="id-ID"/>
        </w:rPr>
        <w:t>: 1992, hlm. 15</w:t>
      </w:r>
    </w:p>
  </w:footnote>
  <w:footnote w:id="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w:t>
      </w:r>
      <w:r w:rsidRPr="00B611A3">
        <w:rPr>
          <w:rFonts w:ascii="Book Antiqua" w:hAnsi="Book Antiqua"/>
          <w:sz w:val="18"/>
          <w:szCs w:val="18"/>
          <w:lang w:val="id-ID"/>
        </w:rPr>
        <w:t xml:space="preserve">, </w:t>
      </w:r>
      <w:r w:rsidRPr="00B611A3">
        <w:rPr>
          <w:rFonts w:ascii="Book Antiqua" w:hAnsi="Book Antiqua"/>
          <w:i/>
          <w:sz w:val="18"/>
          <w:szCs w:val="18"/>
        </w:rPr>
        <w:t>The Living Issues of Philosophy</w:t>
      </w:r>
      <w:r w:rsidRPr="00B611A3">
        <w:rPr>
          <w:rFonts w:ascii="Book Antiqua" w:hAnsi="Book Antiqua"/>
          <w:sz w:val="18"/>
          <w:szCs w:val="18"/>
        </w:rPr>
        <w:t>, terjemah</w:t>
      </w:r>
      <w:r w:rsidRPr="00B611A3">
        <w:rPr>
          <w:rFonts w:ascii="Book Antiqua" w:hAnsi="Book Antiqua"/>
          <w:sz w:val="18"/>
          <w:szCs w:val="18"/>
          <w:lang w:val="id-ID"/>
        </w:rPr>
        <w:t xml:space="preserve">. </w:t>
      </w:r>
      <w:r w:rsidRPr="00B611A3">
        <w:rPr>
          <w:rFonts w:ascii="Book Antiqua" w:hAnsi="Book Antiqua"/>
          <w:sz w:val="18"/>
          <w:szCs w:val="18"/>
        </w:rPr>
        <w:t>H.M.Rasyidi dengan judul: Persoalan-Persoalan Filsafat</w:t>
      </w:r>
      <w:r w:rsidRPr="00B611A3">
        <w:rPr>
          <w:rFonts w:ascii="Book Antiqua" w:hAnsi="Book Antiqua"/>
          <w:sz w:val="18"/>
          <w:szCs w:val="18"/>
          <w:lang w:val="id-ID"/>
        </w:rPr>
        <w:t xml:space="preserve">, </w:t>
      </w:r>
      <w:r w:rsidRPr="00B611A3">
        <w:rPr>
          <w:rFonts w:ascii="Book Antiqua" w:hAnsi="Book Antiqua"/>
          <w:sz w:val="18"/>
          <w:szCs w:val="18"/>
        </w:rPr>
        <w:t>Bulan Bintang, Jakarta</w:t>
      </w:r>
      <w:r w:rsidRPr="00B611A3">
        <w:rPr>
          <w:rFonts w:ascii="Book Antiqua" w:hAnsi="Book Antiqua"/>
          <w:sz w:val="18"/>
          <w:szCs w:val="18"/>
          <w:lang w:val="id-ID"/>
        </w:rPr>
        <w:t>: 1984, hlm. 363</w:t>
      </w:r>
    </w:p>
  </w:footnote>
  <w:footnote w:id="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John locke</w:t>
      </w:r>
      <w:r w:rsidRPr="00B611A3">
        <w:rPr>
          <w:rFonts w:ascii="Book Antiqua" w:hAnsi="Book Antiqua"/>
          <w:sz w:val="18"/>
          <w:szCs w:val="18"/>
          <w:lang w:val="id-ID"/>
        </w:rPr>
        <w:t xml:space="preserve"> dan </w:t>
      </w:r>
      <w:r w:rsidRPr="00B611A3">
        <w:rPr>
          <w:rFonts w:ascii="Book Antiqua" w:hAnsi="Book Antiqua"/>
          <w:sz w:val="18"/>
          <w:szCs w:val="18"/>
        </w:rPr>
        <w:t>Thomas Hobes</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Op. Cit</w:t>
      </w:r>
      <w:r w:rsidRPr="00B611A3">
        <w:rPr>
          <w:rFonts w:ascii="Book Antiqua" w:hAnsi="Book Antiqua"/>
          <w:sz w:val="18"/>
          <w:szCs w:val="18"/>
          <w:lang w:val="id-ID"/>
        </w:rPr>
        <w:t>, hlm. 51-52</w:t>
      </w:r>
    </w:p>
  </w:footnote>
  <w:footnote w:id="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w:t>
      </w:r>
      <w:r w:rsidRPr="00B611A3">
        <w:rPr>
          <w:rFonts w:ascii="Book Antiqua" w:hAnsi="Book Antiqua"/>
          <w:i/>
          <w:sz w:val="18"/>
          <w:szCs w:val="18"/>
        </w:rPr>
        <w:t>The Idea of Law</w:t>
      </w:r>
      <w:r w:rsidRPr="00B611A3">
        <w:rPr>
          <w:rFonts w:ascii="Book Antiqua" w:hAnsi="Book Antiqua"/>
          <w:sz w:val="18"/>
          <w:szCs w:val="18"/>
        </w:rPr>
        <w:t xml:space="preserve">,Penguin Books, </w:t>
      </w:r>
      <w:r w:rsidRPr="00B611A3">
        <w:rPr>
          <w:rFonts w:ascii="Book Antiqua" w:hAnsi="Book Antiqua"/>
          <w:sz w:val="18"/>
          <w:szCs w:val="18"/>
          <w:lang w:val="id-ID"/>
        </w:rPr>
        <w:t>London: 1973, hlm. 82</w:t>
      </w:r>
    </w:p>
  </w:footnote>
  <w:footnote w:id="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Ernst Mach,</w:t>
      </w:r>
      <w:r w:rsidRPr="00B611A3">
        <w:rPr>
          <w:rFonts w:ascii="Book Antiqua" w:hAnsi="Book Antiqua"/>
          <w:i/>
          <w:sz w:val="18"/>
          <w:szCs w:val="18"/>
        </w:rPr>
        <w:t>Contributions To The Analysis Of The Sensations</w:t>
      </w:r>
      <w:r w:rsidRPr="00B611A3">
        <w:rPr>
          <w:rFonts w:ascii="Book Antiqua" w:hAnsi="Book Antiqua"/>
          <w:sz w:val="18"/>
          <w:szCs w:val="18"/>
        </w:rPr>
        <w:t>, Open Court PublishingCompany</w:t>
      </w:r>
      <w:r w:rsidRPr="00B611A3">
        <w:rPr>
          <w:rFonts w:ascii="Book Antiqua" w:hAnsi="Book Antiqua"/>
          <w:sz w:val="18"/>
          <w:szCs w:val="18"/>
          <w:lang w:val="id-ID"/>
        </w:rPr>
        <w:t>: 2000.</w:t>
      </w:r>
    </w:p>
  </w:footnote>
  <w:footnote w:id="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 Quraish</w:t>
      </w:r>
      <w:r w:rsidRPr="00B611A3">
        <w:rPr>
          <w:rFonts w:ascii="Book Antiqua" w:hAnsi="Book Antiqua"/>
          <w:sz w:val="18"/>
          <w:szCs w:val="18"/>
          <w:lang w:val="id-ID"/>
        </w:rPr>
        <w:t xml:space="preserve"> Shihab, </w:t>
      </w:r>
      <w:r w:rsidRPr="00B611A3">
        <w:rPr>
          <w:rFonts w:ascii="Book Antiqua" w:hAnsi="Book Antiqua"/>
          <w:i/>
          <w:sz w:val="18"/>
          <w:szCs w:val="18"/>
        </w:rPr>
        <w:t>Membumikan al-Qur’an</w:t>
      </w:r>
      <w:r w:rsidRPr="00B611A3">
        <w:rPr>
          <w:rFonts w:ascii="Book Antiqua" w:hAnsi="Book Antiqua"/>
          <w:sz w:val="18"/>
          <w:szCs w:val="18"/>
        </w:rPr>
        <w:t>,Mizan,Bandung</w:t>
      </w:r>
      <w:r w:rsidRPr="00B611A3">
        <w:rPr>
          <w:rFonts w:ascii="Book Antiqua" w:hAnsi="Book Antiqua"/>
          <w:sz w:val="18"/>
          <w:szCs w:val="18"/>
          <w:lang w:val="id-ID"/>
        </w:rPr>
        <w:t>: 1997, hlm. 51</w:t>
      </w:r>
    </w:p>
  </w:footnote>
  <w:footnote w:id="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Imam Syafi`ie,</w:t>
      </w:r>
      <w:r w:rsidRPr="00B611A3">
        <w:rPr>
          <w:rFonts w:ascii="Book Antiqua" w:hAnsi="Book Antiqua"/>
          <w:i/>
          <w:sz w:val="18"/>
          <w:szCs w:val="18"/>
        </w:rPr>
        <w:t>Konsep Ilmu Pengetahuan dalam al-Qur`an</w:t>
      </w:r>
      <w:r w:rsidRPr="00B611A3">
        <w:rPr>
          <w:rFonts w:ascii="Book Antiqua" w:hAnsi="Book Antiqua"/>
          <w:sz w:val="18"/>
          <w:szCs w:val="18"/>
        </w:rPr>
        <w:t>,UIIPress, Yogyakarta</w:t>
      </w:r>
      <w:r w:rsidRPr="00B611A3">
        <w:rPr>
          <w:rFonts w:ascii="Book Antiqua" w:hAnsi="Book Antiqua"/>
          <w:sz w:val="18"/>
          <w:szCs w:val="18"/>
          <w:lang w:val="id-ID"/>
        </w:rPr>
        <w:t>: 2000, hlm. 69</w:t>
      </w:r>
    </w:p>
  </w:footnote>
  <w:footnote w:id="7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Afzalur Rahman,</w:t>
      </w:r>
      <w:r w:rsidRPr="00B611A3">
        <w:rPr>
          <w:rFonts w:ascii="Book Antiqua" w:hAnsi="Book Antiqua"/>
          <w:i/>
          <w:sz w:val="18"/>
          <w:szCs w:val="18"/>
        </w:rPr>
        <w:t>Al</w:t>
      </w:r>
      <w:r w:rsidRPr="00B611A3">
        <w:rPr>
          <w:rFonts w:ascii="Book Antiqua" w:hAnsi="Book Antiqua"/>
          <w:i/>
          <w:sz w:val="18"/>
          <w:szCs w:val="18"/>
          <w:lang w:val="id-ID"/>
        </w:rPr>
        <w:t>-</w:t>
      </w:r>
      <w:r w:rsidRPr="00B611A3">
        <w:rPr>
          <w:rFonts w:ascii="Book Antiqua" w:hAnsi="Book Antiqua"/>
          <w:i/>
          <w:sz w:val="18"/>
          <w:szCs w:val="18"/>
        </w:rPr>
        <w:t>Quran Sumber Ilmu Pengetahuan</w:t>
      </w:r>
      <w:r w:rsidRPr="00B611A3">
        <w:rPr>
          <w:rFonts w:ascii="Book Antiqua" w:hAnsi="Book Antiqua"/>
          <w:sz w:val="18"/>
          <w:szCs w:val="18"/>
        </w:rPr>
        <w:t>,terj</w:t>
      </w:r>
      <w:r w:rsidRPr="00B611A3">
        <w:rPr>
          <w:rFonts w:ascii="Book Antiqua" w:hAnsi="Book Antiqua"/>
          <w:sz w:val="18"/>
          <w:szCs w:val="18"/>
          <w:lang w:val="id-ID"/>
        </w:rPr>
        <w:t xml:space="preserve">emah. </w:t>
      </w:r>
      <w:r w:rsidRPr="00B611A3">
        <w:rPr>
          <w:rFonts w:ascii="Book Antiqua" w:hAnsi="Book Antiqua"/>
          <w:sz w:val="18"/>
          <w:szCs w:val="18"/>
        </w:rPr>
        <w:t>M. Arifin</w:t>
      </w:r>
      <w:r w:rsidRPr="00B611A3">
        <w:rPr>
          <w:rFonts w:ascii="Book Antiqua" w:hAnsi="Book Antiqua"/>
          <w:sz w:val="18"/>
          <w:szCs w:val="18"/>
          <w:lang w:val="id-ID"/>
        </w:rPr>
        <w:t xml:space="preserve">, </w:t>
      </w:r>
      <w:r w:rsidRPr="00B611A3">
        <w:rPr>
          <w:rFonts w:ascii="Book Antiqua" w:hAnsi="Book Antiqua"/>
          <w:sz w:val="18"/>
          <w:szCs w:val="18"/>
        </w:rPr>
        <w:t>Bina Aksara,Jakarta</w:t>
      </w:r>
      <w:r w:rsidRPr="00B611A3">
        <w:rPr>
          <w:rFonts w:ascii="Book Antiqua" w:hAnsi="Book Antiqua"/>
          <w:sz w:val="18"/>
          <w:szCs w:val="18"/>
          <w:lang w:val="id-ID"/>
        </w:rPr>
        <w:t xml:space="preserve">: 1989, hlm. </w:t>
      </w:r>
      <w:r w:rsidRPr="00B611A3">
        <w:rPr>
          <w:rFonts w:ascii="Book Antiqua" w:hAnsi="Book Antiqua"/>
          <w:sz w:val="18"/>
          <w:szCs w:val="18"/>
        </w:rPr>
        <w:t xml:space="preserve">58 </w:t>
      </w:r>
    </w:p>
  </w:footnote>
  <w:footnote w:id="7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Jalaluddin dan Usman Said,</w:t>
      </w:r>
      <w:r w:rsidRPr="00B611A3">
        <w:rPr>
          <w:rFonts w:ascii="Book Antiqua" w:hAnsi="Book Antiqua"/>
          <w:i/>
          <w:sz w:val="18"/>
          <w:szCs w:val="18"/>
        </w:rPr>
        <w:t>Filsafat Pendidikan Islam, Konsep dan Perke</w:t>
      </w:r>
      <w:r w:rsidRPr="00B611A3">
        <w:rPr>
          <w:rFonts w:ascii="Book Antiqua" w:hAnsi="Book Antiqua"/>
          <w:i/>
          <w:sz w:val="18"/>
          <w:szCs w:val="18"/>
          <w:lang w:val="id-ID"/>
        </w:rPr>
        <w:t>m</w:t>
      </w:r>
      <w:r w:rsidRPr="00B611A3">
        <w:rPr>
          <w:rFonts w:ascii="Book Antiqua" w:hAnsi="Book Antiqua"/>
          <w:i/>
          <w:sz w:val="18"/>
          <w:szCs w:val="18"/>
        </w:rPr>
        <w:t>bangan Pemikirannya</w:t>
      </w:r>
      <w:r w:rsidRPr="00B611A3">
        <w:rPr>
          <w:rFonts w:ascii="Book Antiqua" w:hAnsi="Book Antiqua"/>
          <w:sz w:val="18"/>
          <w:szCs w:val="18"/>
          <w:lang w:val="id-ID"/>
        </w:rPr>
        <w:t xml:space="preserve">, </w:t>
      </w:r>
      <w:r w:rsidRPr="00B611A3">
        <w:rPr>
          <w:rFonts w:ascii="Book Antiqua" w:hAnsi="Book Antiqua"/>
          <w:sz w:val="18"/>
          <w:szCs w:val="18"/>
        </w:rPr>
        <w:t>Raja Grafindo Persada</w:t>
      </w:r>
      <w:r w:rsidRPr="00B611A3">
        <w:rPr>
          <w:rFonts w:ascii="Book Antiqua" w:hAnsi="Book Antiqua"/>
          <w:sz w:val="18"/>
          <w:szCs w:val="18"/>
          <w:lang w:val="id-ID"/>
        </w:rPr>
        <w:t xml:space="preserve">, </w:t>
      </w:r>
      <w:r w:rsidRPr="00B611A3">
        <w:rPr>
          <w:rFonts w:ascii="Book Antiqua" w:hAnsi="Book Antiqua"/>
          <w:sz w:val="18"/>
          <w:szCs w:val="18"/>
        </w:rPr>
        <w:t>Jakarta</w:t>
      </w:r>
      <w:r w:rsidRPr="00B611A3">
        <w:rPr>
          <w:rFonts w:ascii="Book Antiqua" w:hAnsi="Book Antiqua"/>
          <w:sz w:val="18"/>
          <w:szCs w:val="18"/>
          <w:lang w:val="id-ID"/>
        </w:rPr>
        <w:t>: 1994, hlm. 31</w:t>
      </w:r>
    </w:p>
  </w:footnote>
  <w:footnote w:id="7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i/>
          <w:sz w:val="18"/>
          <w:szCs w:val="18"/>
          <w:lang w:val="id-ID"/>
        </w:rPr>
        <w:t xml:space="preserve"> A</w:t>
      </w:r>
      <w:r w:rsidRPr="00B611A3">
        <w:rPr>
          <w:rFonts w:ascii="Book Antiqua" w:hAnsi="Book Antiqua"/>
          <w:sz w:val="18"/>
          <w:szCs w:val="18"/>
          <w:lang w:val="id-ID"/>
        </w:rPr>
        <w:t>l-Jabiri</w:t>
      </w:r>
      <w:r w:rsidRPr="00B611A3">
        <w:rPr>
          <w:rFonts w:ascii="Book Antiqua" w:hAnsi="Book Antiqua"/>
          <w:i/>
          <w:sz w:val="18"/>
          <w:szCs w:val="18"/>
          <w:lang w:val="id-ID"/>
        </w:rPr>
        <w:t>,Bunyah al-Aql al-Arabi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421</w:t>
      </w:r>
    </w:p>
  </w:footnote>
  <w:footnote w:id="7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rPr>
        <w:t>Menembus Batas Waktu; Panorama Filsafat Islam</w:t>
      </w:r>
      <w:r w:rsidRPr="00B611A3">
        <w:rPr>
          <w:rFonts w:ascii="Book Antiqua" w:hAnsi="Book Antiqua"/>
          <w:sz w:val="18"/>
          <w:szCs w:val="18"/>
          <w:lang w:val="id-ID"/>
        </w:rPr>
        <w:t xml:space="preserve">, </w:t>
      </w:r>
      <w:r w:rsidRPr="00B611A3">
        <w:rPr>
          <w:rFonts w:ascii="Book Antiqua" w:hAnsi="Book Antiqua"/>
          <w:sz w:val="18"/>
          <w:szCs w:val="18"/>
        </w:rPr>
        <w:t>Mizan,Bandung</w:t>
      </w:r>
      <w:r w:rsidRPr="00B611A3">
        <w:rPr>
          <w:rFonts w:ascii="Book Antiqua" w:hAnsi="Book Antiqua"/>
          <w:sz w:val="18"/>
          <w:szCs w:val="18"/>
          <w:lang w:val="id-ID"/>
        </w:rPr>
        <w:t xml:space="preserve">: 2002, hlm. </w:t>
      </w:r>
      <w:r w:rsidRPr="00B611A3">
        <w:rPr>
          <w:rFonts w:ascii="Book Antiqua" w:hAnsi="Book Antiqua"/>
          <w:sz w:val="18"/>
          <w:szCs w:val="18"/>
        </w:rPr>
        <w:t>62</w:t>
      </w:r>
    </w:p>
  </w:footnote>
  <w:footnote w:id="77">
    <w:p w:rsidR="004E75CF" w:rsidRPr="00B611A3" w:rsidRDefault="004E75CF" w:rsidP="00B611A3">
      <w:pPr>
        <w:pStyle w:val="FootnoteText"/>
        <w:tabs>
          <w:tab w:val="left" w:pos="142"/>
        </w:tabs>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Khusnul Khotimah</w:t>
      </w:r>
      <w:r w:rsidRPr="00B611A3">
        <w:rPr>
          <w:rFonts w:ascii="Book Antiqua" w:hAnsi="Book Antiqua"/>
          <w:sz w:val="18"/>
          <w:szCs w:val="18"/>
          <w:lang w:val="id-ID"/>
        </w:rPr>
        <w:t>, “</w:t>
      </w:r>
      <w:r w:rsidRPr="00B611A3">
        <w:rPr>
          <w:rFonts w:ascii="Book Antiqua" w:hAnsi="Book Antiqua"/>
          <w:sz w:val="18"/>
          <w:szCs w:val="18"/>
        </w:rPr>
        <w:t>Paradigma Dan Konsep Ilmu</w:t>
      </w:r>
      <w:r w:rsidRPr="00B611A3">
        <w:rPr>
          <w:rFonts w:ascii="Book Antiqua" w:hAnsi="Book Antiqua"/>
          <w:sz w:val="18"/>
          <w:szCs w:val="18"/>
          <w:lang w:val="id-ID"/>
        </w:rPr>
        <w:t xml:space="preserve"> Pengetahuan Dalam Al-Qur`An”, </w:t>
      </w:r>
      <w:r w:rsidRPr="00B611A3">
        <w:rPr>
          <w:rFonts w:ascii="Book Antiqua" w:hAnsi="Book Antiqua"/>
          <w:i/>
          <w:sz w:val="18"/>
          <w:szCs w:val="18"/>
          <w:lang w:val="id-ID"/>
        </w:rPr>
        <w:t>Jurnal Episteme</w:t>
      </w:r>
      <w:r w:rsidRPr="00B611A3">
        <w:rPr>
          <w:rFonts w:ascii="Book Antiqua" w:hAnsi="Book Antiqua"/>
          <w:sz w:val="18"/>
          <w:szCs w:val="18"/>
          <w:lang w:val="id-ID"/>
        </w:rPr>
        <w:t>, Vol.9, No.1, hlm. 77, 2014</w:t>
      </w:r>
    </w:p>
  </w:footnote>
  <w:footnote w:id="78">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w:t>
      </w:r>
      <w:r w:rsidRPr="00B611A3">
        <w:rPr>
          <w:rFonts w:ascii="Book Antiqua" w:hAnsi="Book Antiqua"/>
          <w:i/>
          <w:sz w:val="18"/>
          <w:szCs w:val="18"/>
          <w:lang w:val="id-ID"/>
        </w:rPr>
        <w:t>, Bunyah al-Aql al-Arabi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hlm. 530</w:t>
      </w:r>
    </w:p>
  </w:footnote>
  <w:footnote w:id="79">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w:t>
      </w:r>
      <w:r w:rsidRPr="00B611A3">
        <w:rPr>
          <w:rFonts w:ascii="Book Antiqua" w:hAnsi="Book Antiqua"/>
          <w:i/>
          <w:sz w:val="18"/>
          <w:szCs w:val="18"/>
        </w:rPr>
        <w:t>De Ovbouw van de Wetenschap een inleiding in de Wetenschapsleer</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J.Drost dengan judul: Susunan Ilmu Pengetahuan: Sebuah Pengantar FilsafatIlmu, Gramedia, Jakarta</w:t>
      </w:r>
      <w:r w:rsidRPr="00B611A3">
        <w:rPr>
          <w:rFonts w:ascii="Book Antiqua" w:hAnsi="Book Antiqua"/>
          <w:sz w:val="18"/>
          <w:szCs w:val="18"/>
          <w:lang w:val="id-ID"/>
        </w:rPr>
        <w:t xml:space="preserve">: 1985, </w:t>
      </w:r>
      <w:r w:rsidRPr="00B611A3">
        <w:rPr>
          <w:rFonts w:ascii="Book Antiqua" w:hAnsi="Book Antiqua"/>
          <w:sz w:val="18"/>
          <w:szCs w:val="18"/>
        </w:rPr>
        <w:t>hlm. 82</w:t>
      </w:r>
    </w:p>
  </w:footnote>
  <w:footnote w:id="8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rPr>
        <w:t>Filsafat Ilmu Pengetahuan: Telaah Atas Cara Kerja Ilmu-Ilmu</w:t>
      </w:r>
      <w:r w:rsidRPr="00B611A3">
        <w:rPr>
          <w:rFonts w:ascii="Book Antiqua" w:hAnsi="Book Antiqua"/>
          <w:sz w:val="18"/>
          <w:szCs w:val="18"/>
          <w:lang w:val="id-ID"/>
        </w:rPr>
        <w:t xml:space="preserve">, </w:t>
      </w:r>
      <w:r w:rsidRPr="00B611A3">
        <w:rPr>
          <w:rFonts w:ascii="Book Antiqua" w:hAnsi="Book Antiqua"/>
          <w:sz w:val="18"/>
          <w:szCs w:val="18"/>
        </w:rPr>
        <w:t>Gramedia Pustaka Utama,</w:t>
      </w:r>
      <w:r w:rsidRPr="00B611A3">
        <w:rPr>
          <w:rFonts w:ascii="Book Antiqua" w:hAnsi="Book Antiqua"/>
          <w:sz w:val="18"/>
          <w:szCs w:val="18"/>
          <w:lang w:val="id-ID"/>
        </w:rPr>
        <w:t>Jakarta: 1991, hlm. 147-148</w:t>
      </w:r>
    </w:p>
  </w:footnote>
  <w:footnote w:id="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w:t>
      </w:r>
      <w:r w:rsidRPr="00B611A3">
        <w:rPr>
          <w:rFonts w:ascii="Book Antiqua" w:hAnsi="Book Antiqua"/>
          <w:sz w:val="18"/>
          <w:szCs w:val="18"/>
          <w:lang w:val="id-ID"/>
        </w:rPr>
        <w:t>P</w:t>
      </w:r>
      <w:r w:rsidRPr="00B611A3">
        <w:rPr>
          <w:rFonts w:ascii="Book Antiqua" w:hAnsi="Book Antiqua"/>
          <w:sz w:val="18"/>
          <w:szCs w:val="18"/>
        </w:rPr>
        <w:t>eurs</w:t>
      </w:r>
      <w:r w:rsidRPr="00B611A3">
        <w:rPr>
          <w:rFonts w:ascii="Book Antiqua" w:hAnsi="Book Antiqua"/>
          <w:sz w:val="18"/>
          <w:szCs w:val="18"/>
          <w:lang w:val="id-ID"/>
        </w:rPr>
        <w:t>o</w:t>
      </w:r>
      <w:r w:rsidRPr="00B611A3">
        <w:rPr>
          <w:rFonts w:ascii="Book Antiqua" w:hAnsi="Book Antiqua"/>
          <w:sz w:val="18"/>
          <w:szCs w:val="18"/>
        </w:rPr>
        <w:t>n,</w:t>
      </w:r>
      <w:r w:rsidRPr="00B611A3">
        <w:rPr>
          <w:rFonts w:ascii="Book Antiqua" w:hAnsi="Book Antiqua"/>
          <w:i/>
          <w:sz w:val="18"/>
          <w:szCs w:val="18"/>
          <w:lang w:val="id-ID"/>
        </w:rPr>
        <w:t xml:space="preserve">Loc. Cit, </w:t>
      </w:r>
      <w:r w:rsidRPr="00B611A3">
        <w:rPr>
          <w:rFonts w:ascii="Book Antiqua" w:hAnsi="Book Antiqua"/>
          <w:sz w:val="18"/>
          <w:szCs w:val="18"/>
          <w:lang w:val="id-ID"/>
        </w:rPr>
        <w:t>hlm. 82</w:t>
      </w:r>
    </w:p>
  </w:footnote>
  <w:footnote w:id="8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lang w:val="id-ID"/>
        </w:rPr>
        <w:t>Op. Cit</w:t>
      </w:r>
      <w:r w:rsidRPr="00B611A3">
        <w:rPr>
          <w:rFonts w:ascii="Book Antiqua" w:hAnsi="Book Antiqua"/>
          <w:sz w:val="18"/>
          <w:szCs w:val="18"/>
          <w:lang w:val="id-ID"/>
        </w:rPr>
        <w:t>, hlm. 149</w:t>
      </w:r>
    </w:p>
  </w:footnote>
  <w:footnote w:id="8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Bertrand Russell, </w:t>
      </w:r>
      <w:r w:rsidRPr="00B611A3">
        <w:rPr>
          <w:rFonts w:ascii="Book Antiqua" w:hAnsi="Book Antiqua"/>
          <w:i/>
          <w:sz w:val="18"/>
          <w:szCs w:val="18"/>
          <w:lang w:val="id-ID"/>
        </w:rPr>
        <w:t>Op. Cit</w:t>
      </w:r>
      <w:r w:rsidRPr="00B611A3">
        <w:rPr>
          <w:rFonts w:ascii="Book Antiqua" w:hAnsi="Book Antiqua"/>
          <w:sz w:val="18"/>
          <w:szCs w:val="18"/>
          <w:lang w:val="id-ID"/>
        </w:rPr>
        <w:t>, hlm. 57</w:t>
      </w:r>
    </w:p>
  </w:footnote>
  <w:footnote w:id="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Michael Heise, </w:t>
      </w:r>
      <w:r w:rsidRPr="00B611A3">
        <w:rPr>
          <w:rFonts w:ascii="Book Antiqua" w:hAnsi="Book Antiqua"/>
          <w:sz w:val="18"/>
          <w:szCs w:val="18"/>
          <w:lang w:val="id-ID"/>
        </w:rPr>
        <w:t>“</w:t>
      </w:r>
      <w:r w:rsidRPr="00B611A3">
        <w:rPr>
          <w:rFonts w:ascii="Book Antiqua" w:hAnsi="Book Antiqua"/>
          <w:sz w:val="18"/>
          <w:szCs w:val="18"/>
        </w:rPr>
        <w:t>Lost Ground: Catholic Schools, the Future of Urban School Reform, and Empirical LegalScholarship</w:t>
      </w:r>
      <w:r w:rsidRPr="00B611A3">
        <w:rPr>
          <w:rFonts w:ascii="Book Antiqua" w:hAnsi="Book Antiqua"/>
          <w:sz w:val="18"/>
          <w:szCs w:val="18"/>
          <w:lang w:val="id-ID"/>
        </w:rPr>
        <w:t>”</w:t>
      </w:r>
      <w:r w:rsidRPr="00B611A3">
        <w:rPr>
          <w:rFonts w:ascii="Book Antiqua" w:hAnsi="Book Antiqua"/>
          <w:sz w:val="18"/>
          <w:szCs w:val="18"/>
        </w:rPr>
        <w:t>,</w:t>
      </w:r>
      <w:r w:rsidRPr="00B611A3">
        <w:rPr>
          <w:rFonts w:ascii="Book Antiqua" w:hAnsi="Book Antiqua"/>
          <w:sz w:val="18"/>
          <w:szCs w:val="18"/>
          <w:lang w:val="id-ID"/>
        </w:rPr>
        <w:t xml:space="preserve"> Texas Law Review, Vol. 93, hlm. 1517, 2015</w:t>
      </w:r>
    </w:p>
  </w:footnote>
  <w:footnote w:id="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Christina L. Boyd</w:t>
      </w:r>
      <w:r w:rsidRPr="00B611A3">
        <w:rPr>
          <w:rFonts w:ascii="Book Antiqua" w:hAnsi="Book Antiqua"/>
          <w:sz w:val="18"/>
          <w:szCs w:val="18"/>
          <w:lang w:val="id-ID"/>
        </w:rPr>
        <w:t>, “In Defense Of Empirical Legal Studies”, Buffalo Law Review, Vol. 63, hlm. 363-365, 2015</w:t>
      </w:r>
    </w:p>
  </w:footnote>
  <w:footnote w:id="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206</w:t>
      </w:r>
    </w:p>
  </w:footnote>
  <w:footnote w:id="87">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Jalaluddin dan Usman Said,</w:t>
      </w:r>
      <w:r w:rsidRPr="00B611A3">
        <w:rPr>
          <w:rFonts w:ascii="Book Antiqua" w:hAnsi="Book Antiqua"/>
          <w:i/>
          <w:sz w:val="18"/>
          <w:szCs w:val="18"/>
          <w:lang w:val="id-ID"/>
        </w:rPr>
        <w:t>Loc. Cit</w:t>
      </w:r>
      <w:r w:rsidRPr="00B611A3">
        <w:rPr>
          <w:rFonts w:ascii="Book Antiqua" w:hAnsi="Book Antiqua"/>
          <w:sz w:val="18"/>
          <w:szCs w:val="18"/>
          <w:lang w:val="id-ID"/>
        </w:rPr>
        <w:t xml:space="preserve">, hlm. 31 </w:t>
      </w:r>
    </w:p>
  </w:footnote>
  <w:footnote w:id="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 </w:t>
      </w:r>
    </w:p>
  </w:footnote>
  <w:footnote w:id="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34-35</w:t>
      </w:r>
    </w:p>
  </w:footnote>
  <w:footnote w:id="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Observasi sebagai cara indera untuk melihat realitas nyata juga telah banyak dikemukakan oleh filsuf Islam, seperti al-Kindi, Nashir al-Din al-Thusi, Ibn Haitsam, al-Manazir, dalam Mulyadi Kartanegara, </w:t>
      </w:r>
      <w:r w:rsidRPr="00B611A3">
        <w:rPr>
          <w:rFonts w:ascii="Book Antiqua" w:hAnsi="Book Antiqua"/>
          <w:i/>
          <w:sz w:val="18"/>
          <w:szCs w:val="18"/>
          <w:lang w:val="id-ID"/>
        </w:rPr>
        <w:t>Loc. Cit</w:t>
      </w:r>
      <w:r w:rsidRPr="00B611A3">
        <w:rPr>
          <w:rFonts w:ascii="Book Antiqua" w:hAnsi="Book Antiqua"/>
          <w:sz w:val="18"/>
          <w:szCs w:val="18"/>
          <w:lang w:val="id-ID"/>
        </w:rPr>
        <w:t>, hlm. 62</w:t>
      </w:r>
    </w:p>
  </w:footnote>
  <w:footnote w:id="9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w:t>
      </w:r>
      <w:r w:rsidRPr="00B611A3">
        <w:rPr>
          <w:rFonts w:ascii="Book Antiqua" w:hAnsi="Book Antiqua"/>
          <w:i/>
          <w:sz w:val="18"/>
          <w:szCs w:val="18"/>
          <w:lang w:val="id-ID"/>
        </w:rPr>
        <w:t>Loc. Cit</w:t>
      </w:r>
      <w:r w:rsidRPr="00B611A3">
        <w:rPr>
          <w:rFonts w:ascii="Book Antiqua" w:hAnsi="Book Antiqua"/>
          <w:sz w:val="18"/>
          <w:szCs w:val="18"/>
          <w:lang w:val="id-ID"/>
        </w:rPr>
        <w:t>, hlm. 363</w:t>
      </w:r>
    </w:p>
  </w:footnote>
  <w:footnote w:id="9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Thomas Hobbes</w:t>
      </w:r>
      <w:r w:rsidRPr="00B611A3">
        <w:rPr>
          <w:rFonts w:ascii="Book Antiqua" w:hAnsi="Book Antiqua"/>
          <w:sz w:val="18"/>
          <w:szCs w:val="18"/>
          <w:lang w:val="id-ID"/>
        </w:rPr>
        <w:t xml:space="preserve"> dalam Jujun Suriasumantri</w:t>
      </w:r>
      <w:r w:rsidRPr="00B611A3">
        <w:rPr>
          <w:rFonts w:ascii="Book Antiqua" w:hAnsi="Book Antiqua"/>
          <w:i/>
          <w:sz w:val="18"/>
          <w:szCs w:val="18"/>
          <w:lang w:val="id-ID"/>
        </w:rPr>
        <w:t>, Loc. Cit</w:t>
      </w:r>
      <w:r w:rsidRPr="00B611A3">
        <w:rPr>
          <w:rFonts w:ascii="Book Antiqua" w:hAnsi="Book Antiqua"/>
          <w:sz w:val="18"/>
          <w:szCs w:val="18"/>
          <w:lang w:val="id-ID"/>
        </w:rPr>
        <w:t>, hlm. 51-52</w:t>
      </w:r>
    </w:p>
  </w:footnote>
  <w:footnote w:id="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82</w:t>
      </w:r>
    </w:p>
  </w:footnote>
  <w:footnote w:id="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Menachem Mautner</w:t>
      </w:r>
      <w:r w:rsidRPr="00B611A3">
        <w:rPr>
          <w:rFonts w:ascii="Book Antiqua" w:hAnsi="Book Antiqua"/>
          <w:sz w:val="18"/>
          <w:szCs w:val="18"/>
          <w:lang w:val="id-ID"/>
        </w:rPr>
        <w:t>, “Three Approaches To Law And Culture”, Cornell Law Review, Vol. 96, hlm. 867, 2011</w:t>
      </w:r>
    </w:p>
  </w:footnote>
  <w:footnote w:id="9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197</w:t>
      </w:r>
    </w:p>
  </w:footnote>
  <w:footnote w:id="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Hari Chand, </w:t>
      </w:r>
      <w:r w:rsidRPr="00B611A3">
        <w:rPr>
          <w:rFonts w:ascii="Book Antiqua" w:hAnsi="Book Antiqua"/>
          <w:i/>
          <w:sz w:val="18"/>
          <w:szCs w:val="18"/>
          <w:lang w:val="id-ID"/>
        </w:rPr>
        <w:t>Modern Jurisprudence</w:t>
      </w:r>
      <w:r w:rsidRPr="00B611A3">
        <w:rPr>
          <w:rFonts w:ascii="Book Antiqua" w:hAnsi="Book Antiqua"/>
          <w:sz w:val="18"/>
          <w:szCs w:val="18"/>
          <w:lang w:val="id-ID"/>
        </w:rPr>
        <w:t>,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160-161</w:t>
      </w:r>
    </w:p>
  </w:footnote>
  <w:footnote w:id="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Luis Kutner, </w:t>
      </w:r>
      <w:r w:rsidRPr="00B611A3">
        <w:rPr>
          <w:rFonts w:ascii="Book Antiqua" w:hAnsi="Book Antiqua"/>
          <w:i/>
          <w:sz w:val="18"/>
          <w:szCs w:val="18"/>
          <w:lang w:val="id-ID"/>
        </w:rPr>
        <w:t>Savigny: German Lawgiver, Loc. Cit</w:t>
      </w:r>
      <w:r w:rsidRPr="00B611A3">
        <w:rPr>
          <w:rFonts w:ascii="Book Antiqua" w:hAnsi="Book Antiqua"/>
          <w:sz w:val="18"/>
          <w:szCs w:val="18"/>
          <w:lang w:val="id-ID"/>
        </w:rPr>
        <w:t>, hlm. 283, dalam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200</w:t>
      </w:r>
    </w:p>
  </w:footnote>
  <w:footnote w:id="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The Province and Function of Law, Loc. Cit</w:t>
      </w:r>
      <w:r w:rsidRPr="00B611A3">
        <w:rPr>
          <w:rFonts w:ascii="Book Antiqua" w:hAnsi="Book Antiqua"/>
          <w:sz w:val="18"/>
          <w:szCs w:val="18"/>
          <w:lang w:val="id-ID"/>
        </w:rPr>
        <w:t xml:space="preserve">, hlm. 435-437,  dalam Atip Latipul hayat, </w:t>
      </w:r>
      <w:r w:rsidRPr="00B611A3">
        <w:rPr>
          <w:rFonts w:ascii="Book Antiqua" w:hAnsi="Book Antiqua"/>
          <w:i/>
          <w:sz w:val="18"/>
          <w:szCs w:val="18"/>
          <w:lang w:val="id-ID"/>
        </w:rPr>
        <w:t>Friedrich Karl Von Savigny</w:t>
      </w:r>
      <w:r w:rsidRPr="00B611A3">
        <w:rPr>
          <w:rFonts w:ascii="Book Antiqua" w:hAnsi="Book Antiqua"/>
          <w:sz w:val="18"/>
          <w:szCs w:val="18"/>
          <w:lang w:val="id-ID"/>
        </w:rPr>
        <w:t xml:space="preserve">, Loc. Cit, hlm. 203    </w:t>
      </w:r>
    </w:p>
  </w:footnote>
  <w:footnote w:id="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430-431,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xml:space="preserve"> hlm. 202</w:t>
      </w:r>
    </w:p>
  </w:footnote>
  <w:footnote w:id="1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xml:space="preserve"> hlm. 202</w:t>
      </w:r>
    </w:p>
  </w:footnote>
  <w:footnote w:id="1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Alf Ross, </w:t>
      </w:r>
      <w:r w:rsidRPr="00B611A3">
        <w:rPr>
          <w:rFonts w:ascii="Book Antiqua" w:hAnsi="Book Antiqua"/>
          <w:i/>
          <w:sz w:val="18"/>
          <w:szCs w:val="18"/>
          <w:lang w:val="id-ID"/>
        </w:rPr>
        <w:t xml:space="preserve">On Law and Justice, Loc. Cit, </w:t>
      </w:r>
      <w:r w:rsidRPr="00B611A3">
        <w:rPr>
          <w:rFonts w:ascii="Book Antiqua" w:hAnsi="Book Antiqua"/>
          <w:sz w:val="18"/>
          <w:szCs w:val="18"/>
          <w:lang w:val="id-ID"/>
        </w:rPr>
        <w:t xml:space="preserve">hlm. 38, dalam Atip Latipul 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1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Marta M. Chlistunoff</w:t>
      </w:r>
      <w:r w:rsidRPr="00B611A3">
        <w:rPr>
          <w:rFonts w:ascii="Book Antiqua" w:hAnsi="Book Antiqua"/>
          <w:sz w:val="18"/>
          <w:szCs w:val="18"/>
          <w:lang w:val="id-ID"/>
        </w:rPr>
        <w:t>, “Expert Testimony and the Quest for Reliability: The Case for a MethodologyQuestionnaire”, Texas Law Review, Vol. 94, hlm. 1073 &amp;1078, 2016</w:t>
      </w:r>
    </w:p>
  </w:footnote>
  <w:footnote w:id="10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 </w:t>
      </w:r>
    </w:p>
  </w:footnote>
  <w:footnote w:id="1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i/>
          <w:sz w:val="18"/>
          <w:szCs w:val="18"/>
          <w:lang w:val="id-ID"/>
        </w:rPr>
        <w:t>, Loc. Cit</w:t>
      </w:r>
      <w:r w:rsidRPr="00B611A3">
        <w:rPr>
          <w:rFonts w:ascii="Book Antiqua" w:hAnsi="Book Antiqua"/>
          <w:sz w:val="18"/>
          <w:szCs w:val="18"/>
          <w:lang w:val="id-ID"/>
        </w:rPr>
        <w:t>, hlm. 34-35</w:t>
      </w:r>
    </w:p>
  </w:footnote>
  <w:footnote w:id="1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Hadiwijono,</w:t>
      </w:r>
      <w:r w:rsidRPr="00B611A3">
        <w:rPr>
          <w:rFonts w:ascii="Book Antiqua" w:hAnsi="Book Antiqua"/>
          <w:i/>
          <w:sz w:val="18"/>
          <w:szCs w:val="18"/>
          <w:lang w:val="id-ID"/>
        </w:rPr>
        <w:t>Loc. Cit</w:t>
      </w:r>
      <w:r w:rsidRPr="00B611A3">
        <w:rPr>
          <w:rFonts w:ascii="Book Antiqua" w:hAnsi="Book Antiqua"/>
          <w:sz w:val="18"/>
          <w:szCs w:val="18"/>
          <w:lang w:val="id-ID"/>
        </w:rPr>
        <w:t>, hlm. 15</w:t>
      </w:r>
    </w:p>
  </w:footnote>
  <w:footnote w:id="1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 </w:t>
      </w:r>
      <w:r w:rsidRPr="00B611A3">
        <w:rPr>
          <w:rFonts w:ascii="Book Antiqua" w:hAnsi="Book Antiqua"/>
          <w:i/>
          <w:sz w:val="18"/>
          <w:szCs w:val="18"/>
          <w:lang w:val="id-ID"/>
        </w:rPr>
        <w:t>Loc. Cit</w:t>
      </w:r>
      <w:r w:rsidRPr="00B611A3">
        <w:rPr>
          <w:rFonts w:ascii="Book Antiqua" w:hAnsi="Book Antiqua"/>
          <w:sz w:val="18"/>
          <w:szCs w:val="18"/>
          <w:lang w:val="id-ID"/>
        </w:rPr>
        <w:t xml:space="preserve">, </w:t>
      </w:r>
      <w:r w:rsidRPr="00B611A3">
        <w:rPr>
          <w:rFonts w:ascii="Book Antiqua" w:hAnsi="Book Antiqua"/>
          <w:sz w:val="18"/>
          <w:szCs w:val="18"/>
        </w:rPr>
        <w:t>hlm. 82</w:t>
      </w:r>
    </w:p>
  </w:footnote>
  <w:footnote w:id="1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 Verhaak dan R. Haryono Imam</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147-148</w:t>
      </w:r>
    </w:p>
  </w:footnote>
  <w:footnote w:id="1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Veursen,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82 </w:t>
      </w:r>
    </w:p>
  </w:footnote>
  <w:footnote w:id="1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Dennis Lloyd, </w:t>
      </w:r>
      <w:r w:rsidRPr="00B611A3">
        <w:rPr>
          <w:rFonts w:ascii="Book Antiqua" w:hAnsi="Book Antiqua"/>
          <w:i/>
          <w:sz w:val="18"/>
          <w:szCs w:val="18"/>
          <w:lang w:val="id-ID"/>
        </w:rPr>
        <w:t>Loc. Cit</w:t>
      </w:r>
      <w:r w:rsidRPr="00B611A3">
        <w:rPr>
          <w:rFonts w:ascii="Book Antiqua" w:hAnsi="Book Antiqua"/>
          <w:sz w:val="18"/>
          <w:szCs w:val="18"/>
          <w:lang w:val="id-ID"/>
        </w:rPr>
        <w:t>, hlm. 82</w:t>
      </w:r>
    </w:p>
  </w:footnote>
  <w:footnote w:id="1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Bertrand Russell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57</w:t>
      </w:r>
    </w:p>
  </w:footnote>
  <w:footnote w:id="1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11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w:t>
      </w:r>
      <w:r w:rsidRPr="00B611A3">
        <w:rPr>
          <w:rFonts w:ascii="Book Antiqua" w:hAnsi="Book Antiqua"/>
          <w:sz w:val="18"/>
          <w:szCs w:val="18"/>
          <w:lang w:val="id-ID"/>
        </w:rPr>
        <w:t>,</w:t>
      </w:r>
      <w:r w:rsidRPr="00B611A3">
        <w:rPr>
          <w:rFonts w:ascii="Book Antiqua" w:hAnsi="Book Antiqua"/>
          <w:i/>
          <w:sz w:val="18"/>
          <w:szCs w:val="18"/>
          <w:lang w:val="id-ID"/>
        </w:rPr>
        <w:t>Ibid,</w:t>
      </w:r>
      <w:r w:rsidRPr="00B611A3">
        <w:rPr>
          <w:rFonts w:ascii="Book Antiqua" w:hAnsi="Book Antiqua"/>
          <w:sz w:val="18"/>
          <w:szCs w:val="18"/>
          <w:lang w:val="id-ID"/>
        </w:rPr>
        <w:t>hlm. 421</w:t>
      </w:r>
    </w:p>
  </w:footnote>
  <w:footnote w:id="1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421-422, dalam Atip Latipulhayat, </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 xml:space="preserve">hlm. 197    </w:t>
      </w:r>
    </w:p>
  </w:footnote>
  <w:footnote w:id="11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Rene Descartes </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Ibid</w:t>
      </w:r>
      <w:r w:rsidRPr="00B611A3">
        <w:rPr>
          <w:rFonts w:ascii="Book Antiqua" w:hAnsi="Book Antiqua"/>
          <w:sz w:val="18"/>
          <w:szCs w:val="18"/>
          <w:lang w:val="id-ID"/>
        </w:rPr>
        <w:t>, hlm. 50-51</w:t>
      </w:r>
    </w:p>
  </w:footnote>
  <w:footnote w:id="11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Feris Firdaus,</w:t>
      </w:r>
      <w:r w:rsidRPr="00B611A3">
        <w:rPr>
          <w:rFonts w:ascii="Book Antiqua" w:hAnsi="Book Antiqua"/>
          <w:i/>
          <w:sz w:val="18"/>
          <w:szCs w:val="18"/>
        </w:rPr>
        <w:t>Alam Semesta</w:t>
      </w:r>
      <w:r w:rsidRPr="00B611A3">
        <w:rPr>
          <w:rFonts w:ascii="Book Antiqua" w:hAnsi="Book Antiqua"/>
          <w:i/>
          <w:sz w:val="18"/>
          <w:szCs w:val="18"/>
          <w:lang w:val="id-ID"/>
        </w:rPr>
        <w:t xml:space="preserve">; </w:t>
      </w:r>
      <w:r w:rsidRPr="00B611A3">
        <w:rPr>
          <w:rFonts w:ascii="Book Antiqua" w:hAnsi="Book Antiqua"/>
          <w:i/>
          <w:sz w:val="18"/>
          <w:szCs w:val="18"/>
        </w:rPr>
        <w:t>Sumber Ilmu, Hukum, dan Informasi Ketiga Setelah al-Qur’an dan al-Sunnah</w:t>
      </w:r>
      <w:r w:rsidRPr="00B611A3">
        <w:rPr>
          <w:rFonts w:ascii="Book Antiqua" w:hAnsi="Book Antiqua"/>
          <w:sz w:val="18"/>
          <w:szCs w:val="18"/>
          <w:lang w:val="id-ID"/>
        </w:rPr>
        <w:t xml:space="preserve">, </w:t>
      </w:r>
      <w:r w:rsidRPr="00B611A3">
        <w:rPr>
          <w:rFonts w:ascii="Book Antiqua" w:hAnsi="Book Antiqua"/>
          <w:sz w:val="18"/>
          <w:szCs w:val="18"/>
        </w:rPr>
        <w:t>Insan Cipta Press, Yogyakarta</w:t>
      </w:r>
      <w:r w:rsidRPr="00B611A3">
        <w:rPr>
          <w:rFonts w:ascii="Book Antiqua" w:hAnsi="Book Antiqua"/>
          <w:sz w:val="18"/>
          <w:szCs w:val="18"/>
          <w:lang w:val="id-ID"/>
        </w:rPr>
        <w:t>: 2004, hlm. 34</w:t>
      </w:r>
    </w:p>
  </w:footnote>
  <w:footnote w:id="1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Nasution,</w:t>
      </w:r>
      <w:r w:rsidRPr="00B611A3">
        <w:rPr>
          <w:rFonts w:ascii="Book Antiqua" w:hAnsi="Book Antiqua"/>
          <w:i/>
          <w:sz w:val="18"/>
          <w:szCs w:val="18"/>
        </w:rPr>
        <w:t>Falsafat dan Mistisisme</w:t>
      </w:r>
      <w:r w:rsidRPr="00B611A3">
        <w:rPr>
          <w:rFonts w:ascii="Book Antiqua" w:hAnsi="Book Antiqua"/>
          <w:sz w:val="18"/>
          <w:szCs w:val="18"/>
        </w:rPr>
        <w:t>,Bulan Bintang,Jakarta</w:t>
      </w:r>
      <w:r w:rsidRPr="00B611A3">
        <w:rPr>
          <w:rFonts w:ascii="Book Antiqua" w:hAnsi="Book Antiqua"/>
          <w:sz w:val="18"/>
          <w:szCs w:val="18"/>
          <w:lang w:val="id-ID"/>
        </w:rPr>
        <w:t>: 1962, hlm. 30</w:t>
      </w:r>
    </w:p>
  </w:footnote>
  <w:footnote w:id="1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 Salam,</w:t>
      </w:r>
      <w:r w:rsidRPr="00B611A3">
        <w:rPr>
          <w:rFonts w:ascii="Book Antiqua" w:hAnsi="Book Antiqua"/>
          <w:i/>
          <w:sz w:val="18"/>
          <w:szCs w:val="18"/>
        </w:rPr>
        <w:t>Pengantar Filsafat</w:t>
      </w:r>
      <w:r w:rsidRPr="00B611A3">
        <w:rPr>
          <w:rFonts w:ascii="Book Antiqua" w:hAnsi="Book Antiqua"/>
          <w:sz w:val="18"/>
          <w:szCs w:val="18"/>
        </w:rPr>
        <w:t>,Bumi Aksara,Yogyakarta</w:t>
      </w:r>
      <w:r w:rsidRPr="00B611A3">
        <w:rPr>
          <w:rFonts w:ascii="Book Antiqua" w:hAnsi="Book Antiqua"/>
          <w:sz w:val="18"/>
          <w:szCs w:val="18"/>
          <w:lang w:val="id-ID"/>
        </w:rPr>
        <w:t>: 2003, hlm. 73</w:t>
      </w:r>
    </w:p>
  </w:footnote>
  <w:footnote w:id="1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Miska Muhammad Amin,</w:t>
      </w:r>
      <w:r w:rsidRPr="00B611A3">
        <w:rPr>
          <w:rFonts w:ascii="Book Antiqua" w:hAnsi="Book Antiqua"/>
          <w:i/>
          <w:sz w:val="18"/>
          <w:szCs w:val="18"/>
        </w:rPr>
        <w:t>Epistemologi Islam: Pengantar Filsafat Pengetahuan Islam</w:t>
      </w:r>
      <w:r w:rsidRPr="00B611A3">
        <w:rPr>
          <w:rFonts w:ascii="Book Antiqua" w:hAnsi="Book Antiqua"/>
          <w:sz w:val="18"/>
          <w:szCs w:val="18"/>
        </w:rPr>
        <w:t>,UI Press,Jakarta</w:t>
      </w:r>
      <w:r w:rsidRPr="00B611A3">
        <w:rPr>
          <w:rFonts w:ascii="Book Antiqua" w:hAnsi="Book Antiqua"/>
          <w:sz w:val="18"/>
          <w:szCs w:val="18"/>
          <w:lang w:val="id-ID"/>
        </w:rPr>
        <w:t>: 1983, hlm.2-</w:t>
      </w:r>
      <w:r w:rsidRPr="00B611A3">
        <w:rPr>
          <w:rFonts w:ascii="Book Antiqua" w:hAnsi="Book Antiqua"/>
          <w:sz w:val="18"/>
          <w:szCs w:val="18"/>
        </w:rPr>
        <w:t>3</w:t>
      </w:r>
    </w:p>
  </w:footnote>
  <w:footnote w:id="1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Muhsin Mahdi, “Al-Farabi dan Fondasi Filsafat Islam”, Jurnal al-Hikmah, Edisi 04, 1992, hlm. 58-60, 1992; Muhammad Abed al-Jabiri, </w:t>
      </w:r>
      <w:r w:rsidRPr="00B611A3">
        <w:rPr>
          <w:rFonts w:ascii="Book Antiqua" w:hAnsi="Book Antiqua"/>
          <w:i/>
          <w:sz w:val="18"/>
          <w:szCs w:val="18"/>
          <w:lang w:val="id-ID"/>
        </w:rPr>
        <w:t xml:space="preserve">Takwin al-‘Aql al-Arabi, </w:t>
      </w:r>
      <w:r w:rsidRPr="00B611A3">
        <w:rPr>
          <w:rFonts w:ascii="Book Antiqua" w:hAnsi="Book Antiqua"/>
          <w:sz w:val="18"/>
          <w:szCs w:val="18"/>
          <w:lang w:val="id-ID"/>
        </w:rPr>
        <w:t>terjemah. Imam Khoiri menjadi: Formasi Nalar Arab, Kritik Tradisi dan Wacana Agama, IRCiSoD, Yogyakarta: 2014, hlm. 207-210</w:t>
      </w:r>
    </w:p>
  </w:footnote>
  <w:footnote w:id="1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Muslim Ishak,</w:t>
      </w:r>
      <w:r w:rsidRPr="00B611A3">
        <w:rPr>
          <w:rFonts w:ascii="Book Antiqua" w:hAnsi="Book Antiqua"/>
          <w:i/>
          <w:sz w:val="18"/>
          <w:szCs w:val="18"/>
        </w:rPr>
        <w:t>Tokoh-tokoh Filsafat Islam dan Barat (Spanyol)</w:t>
      </w:r>
      <w:r w:rsidRPr="00B611A3">
        <w:rPr>
          <w:rFonts w:ascii="Book Antiqua" w:hAnsi="Book Antiqua"/>
          <w:sz w:val="18"/>
          <w:szCs w:val="18"/>
        </w:rPr>
        <w:t>,Bina Ilmu,Surabaya</w:t>
      </w:r>
      <w:r w:rsidRPr="00B611A3">
        <w:rPr>
          <w:rFonts w:ascii="Book Antiqua" w:hAnsi="Book Antiqua"/>
          <w:sz w:val="18"/>
          <w:szCs w:val="18"/>
          <w:lang w:val="id-ID"/>
        </w:rPr>
        <w:t>: 1980, hlm. 32</w:t>
      </w:r>
    </w:p>
  </w:footnote>
  <w:footnote w:id="1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Pradana Boy ZTF,</w:t>
      </w:r>
      <w:r w:rsidRPr="00B611A3">
        <w:rPr>
          <w:rFonts w:ascii="Book Antiqua" w:hAnsi="Book Antiqua"/>
          <w:i/>
          <w:sz w:val="18"/>
          <w:szCs w:val="18"/>
        </w:rPr>
        <w:t>Filsafat Islam, Sejarah, Aliran dan Tokoh</w:t>
      </w:r>
      <w:r w:rsidRPr="00B611A3">
        <w:rPr>
          <w:rFonts w:ascii="Book Antiqua" w:hAnsi="Book Antiqua"/>
          <w:sz w:val="18"/>
          <w:szCs w:val="18"/>
        </w:rPr>
        <w:t xml:space="preserve">,UMM Press, </w:t>
      </w:r>
      <w:r w:rsidRPr="00B611A3">
        <w:rPr>
          <w:rFonts w:ascii="Book Antiqua" w:hAnsi="Book Antiqua"/>
          <w:sz w:val="18"/>
          <w:szCs w:val="18"/>
          <w:lang w:val="id-ID"/>
        </w:rPr>
        <w:t>Malang: 2003, hlm. 1</w:t>
      </w:r>
      <w:r w:rsidRPr="00B611A3">
        <w:rPr>
          <w:rFonts w:ascii="Book Antiqua" w:hAnsi="Book Antiqua"/>
          <w:sz w:val="18"/>
          <w:szCs w:val="18"/>
        </w:rPr>
        <w:t>85-188</w:t>
      </w:r>
    </w:p>
  </w:footnote>
  <w:footnote w:id="1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sz w:val="18"/>
          <w:szCs w:val="18"/>
          <w:lang w:val="id-ID"/>
        </w:rPr>
        <w:t xml:space="preserve">, </w:t>
      </w:r>
      <w:r w:rsidRPr="00B611A3">
        <w:rPr>
          <w:rFonts w:ascii="Book Antiqua" w:hAnsi="Book Antiqua"/>
          <w:i/>
          <w:sz w:val="18"/>
          <w:szCs w:val="18"/>
        </w:rPr>
        <w:t>“Al-Kasyf `an Manâhij al-Adillah fî `Aqaid al-Millah</w:t>
      </w:r>
      <w:r w:rsidRPr="00B611A3">
        <w:rPr>
          <w:rFonts w:ascii="Book Antiqua" w:hAnsi="Book Antiqua"/>
          <w:i/>
          <w:sz w:val="18"/>
          <w:szCs w:val="18"/>
          <w:lang w:val="id-ID"/>
        </w:rPr>
        <w:t>,</w:t>
      </w:r>
      <w:r w:rsidRPr="00B611A3">
        <w:rPr>
          <w:rFonts w:ascii="Book Antiqua" w:hAnsi="Book Antiqua"/>
          <w:i/>
          <w:sz w:val="18"/>
          <w:szCs w:val="18"/>
        </w:rPr>
        <w:t>”</w:t>
      </w:r>
      <w:r w:rsidRPr="00B611A3">
        <w:rPr>
          <w:rFonts w:ascii="Book Antiqua" w:hAnsi="Book Antiqua"/>
          <w:i/>
          <w:sz w:val="18"/>
          <w:szCs w:val="18"/>
          <w:lang w:val="id-ID"/>
        </w:rPr>
        <w:t xml:space="preserve"> Ibid, </w:t>
      </w:r>
      <w:r w:rsidRPr="00B611A3">
        <w:rPr>
          <w:rFonts w:ascii="Book Antiqua" w:hAnsi="Book Antiqua"/>
          <w:sz w:val="18"/>
          <w:szCs w:val="18"/>
          <w:lang w:val="id-ID"/>
        </w:rPr>
        <w:t>hlm.</w:t>
      </w:r>
      <w:r w:rsidRPr="00B611A3">
        <w:rPr>
          <w:rFonts w:ascii="Book Antiqua" w:hAnsi="Book Antiqua"/>
          <w:sz w:val="18"/>
          <w:szCs w:val="18"/>
        </w:rPr>
        <w:t>127</w:t>
      </w:r>
    </w:p>
  </w:footnote>
  <w:footnote w:id="12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Burhanuddin Salam, </w:t>
      </w:r>
      <w:r w:rsidRPr="00B611A3">
        <w:rPr>
          <w:rFonts w:ascii="Book Antiqua" w:hAnsi="Book Antiqua"/>
          <w:i/>
          <w:sz w:val="18"/>
          <w:szCs w:val="18"/>
          <w:lang w:val="id-ID"/>
        </w:rPr>
        <w:t>O</w:t>
      </w:r>
      <w:r w:rsidRPr="00B611A3">
        <w:rPr>
          <w:rFonts w:ascii="Book Antiqua" w:hAnsi="Book Antiqua"/>
          <w:i/>
          <w:sz w:val="18"/>
          <w:szCs w:val="18"/>
        </w:rPr>
        <w:t>p.cit</w:t>
      </w:r>
      <w:r w:rsidRPr="00B611A3">
        <w:rPr>
          <w:rFonts w:ascii="Book Antiqua" w:hAnsi="Book Antiqua"/>
          <w:sz w:val="18"/>
          <w:szCs w:val="18"/>
        </w:rPr>
        <w:t xml:space="preserve">, </w:t>
      </w:r>
      <w:r w:rsidRPr="00B611A3">
        <w:rPr>
          <w:rFonts w:ascii="Book Antiqua" w:hAnsi="Book Antiqua"/>
          <w:sz w:val="18"/>
          <w:szCs w:val="18"/>
          <w:lang w:val="id-ID"/>
        </w:rPr>
        <w:t xml:space="preserve">hlm. </w:t>
      </w:r>
      <w:r w:rsidRPr="00B611A3">
        <w:rPr>
          <w:rFonts w:ascii="Book Antiqua" w:hAnsi="Book Antiqua"/>
          <w:sz w:val="18"/>
          <w:szCs w:val="18"/>
        </w:rPr>
        <w:t>122</w:t>
      </w:r>
    </w:p>
  </w:footnote>
  <w:footnote w:id="12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Harun Nasution,</w:t>
      </w:r>
      <w:r w:rsidRPr="00B611A3">
        <w:rPr>
          <w:rFonts w:ascii="Book Antiqua" w:hAnsi="Book Antiqua"/>
          <w:i/>
          <w:sz w:val="18"/>
          <w:szCs w:val="18"/>
        </w:rPr>
        <w:t>Islam Ditinjau dari Berbagai Aspeknya</w:t>
      </w:r>
      <w:r w:rsidRPr="00B611A3">
        <w:rPr>
          <w:rFonts w:ascii="Book Antiqua" w:hAnsi="Book Antiqua"/>
          <w:sz w:val="18"/>
          <w:szCs w:val="18"/>
        </w:rPr>
        <w:t>,UI</w:t>
      </w:r>
      <w:r w:rsidRPr="00B611A3">
        <w:rPr>
          <w:rFonts w:ascii="Book Antiqua" w:hAnsi="Book Antiqua"/>
          <w:sz w:val="18"/>
          <w:szCs w:val="18"/>
          <w:lang w:val="id-ID"/>
        </w:rPr>
        <w:t>-</w:t>
      </w:r>
      <w:r w:rsidRPr="00B611A3">
        <w:rPr>
          <w:rFonts w:ascii="Book Antiqua" w:hAnsi="Book Antiqua"/>
          <w:sz w:val="18"/>
          <w:szCs w:val="18"/>
        </w:rPr>
        <w:t>Press, Jakarta</w:t>
      </w:r>
      <w:r w:rsidRPr="00B611A3">
        <w:rPr>
          <w:rFonts w:ascii="Book Antiqua" w:hAnsi="Book Antiqua"/>
          <w:sz w:val="18"/>
          <w:szCs w:val="18"/>
          <w:lang w:val="id-ID"/>
        </w:rPr>
        <w:t xml:space="preserve">: 1986, hlm. 56-58; Amin Abdullah, </w:t>
      </w:r>
      <w:r w:rsidRPr="00B611A3">
        <w:rPr>
          <w:rFonts w:ascii="Book Antiqua" w:hAnsi="Book Antiqua"/>
          <w:i/>
          <w:sz w:val="18"/>
          <w:szCs w:val="18"/>
          <w:lang w:val="id-ID"/>
        </w:rPr>
        <w:t>Studi Agama Normativitas atau Historitas</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244.</w:t>
      </w:r>
    </w:p>
  </w:footnote>
  <w:footnote w:id="125">
    <w:p w:rsidR="004E75CF" w:rsidRPr="00B611A3" w:rsidRDefault="004E75CF" w:rsidP="00B611A3">
      <w:pPr>
        <w:pStyle w:val="FootnoteText"/>
        <w:tabs>
          <w:tab w:val="center" w:pos="4252"/>
        </w:tabs>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Takwin</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29-30</w:t>
      </w:r>
      <w:r w:rsidRPr="00B611A3">
        <w:rPr>
          <w:rFonts w:ascii="Book Antiqua" w:hAnsi="Book Antiqua"/>
          <w:sz w:val="18"/>
          <w:szCs w:val="18"/>
          <w:lang w:val="id-ID"/>
        </w:rPr>
        <w:tab/>
      </w:r>
    </w:p>
  </w:footnote>
  <w:footnote w:id="126">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rPr>
        <w:t>,Menembus Batas Waktu</w:t>
      </w:r>
      <w:r w:rsidRPr="00B611A3">
        <w:rPr>
          <w:rFonts w:ascii="Book Antiqua" w:hAnsi="Book Antiqua"/>
          <w:sz w:val="18"/>
          <w:szCs w:val="18"/>
          <w:lang w:val="id-ID"/>
        </w:rPr>
        <w:t>,</w:t>
      </w:r>
      <w:r w:rsidRPr="00B611A3">
        <w:rPr>
          <w:rFonts w:ascii="Book Antiqua" w:hAnsi="Book Antiqua"/>
          <w:i/>
          <w:sz w:val="18"/>
          <w:szCs w:val="18"/>
          <w:lang w:val="id-ID"/>
        </w:rPr>
        <w:t xml:space="preserve">Ibid, </w:t>
      </w:r>
      <w:r w:rsidRPr="00B611A3">
        <w:rPr>
          <w:rFonts w:ascii="Book Antiqua" w:hAnsi="Book Antiqua"/>
          <w:sz w:val="18"/>
          <w:szCs w:val="18"/>
          <w:lang w:val="id-ID"/>
        </w:rPr>
        <w:t xml:space="preserve">hlm. </w:t>
      </w:r>
      <w:r w:rsidRPr="00B611A3">
        <w:rPr>
          <w:rFonts w:ascii="Book Antiqua" w:hAnsi="Book Antiqua"/>
          <w:sz w:val="18"/>
          <w:szCs w:val="18"/>
        </w:rPr>
        <w:t>63</w:t>
      </w:r>
    </w:p>
  </w:footnote>
  <w:footnote w:id="1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al-Arabi,Ibid</w:t>
      </w:r>
      <w:r w:rsidRPr="00B611A3">
        <w:rPr>
          <w:rFonts w:ascii="Book Antiqua" w:hAnsi="Book Antiqua"/>
          <w:sz w:val="18"/>
          <w:szCs w:val="18"/>
          <w:lang w:val="id-ID"/>
        </w:rPr>
        <w:t xml:space="preserve">,hlm. 384-385. </w:t>
      </w:r>
    </w:p>
  </w:footnote>
  <w:footnote w:id="1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w:t>
      </w:r>
      <w:r w:rsidRPr="00B611A3">
        <w:rPr>
          <w:rFonts w:ascii="Book Antiqua" w:hAnsi="Book Antiqua"/>
          <w:i/>
          <w:sz w:val="18"/>
          <w:szCs w:val="18"/>
          <w:lang w:val="id-ID"/>
        </w:rPr>
        <w:t>, Bunyah al-Aql al-Arab,  Ibid</w:t>
      </w:r>
      <w:r w:rsidRPr="00B611A3">
        <w:rPr>
          <w:rFonts w:ascii="Book Antiqua" w:hAnsi="Book Antiqua"/>
          <w:sz w:val="18"/>
          <w:szCs w:val="18"/>
          <w:lang w:val="id-ID"/>
        </w:rPr>
        <w:t>, hlm. 421 &amp; 435</w:t>
      </w:r>
    </w:p>
  </w:footnote>
  <w:footnote w:id="1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Al-Farabi dalam Osman Bakar, </w:t>
      </w:r>
      <w:r w:rsidRPr="00B611A3">
        <w:rPr>
          <w:rFonts w:ascii="Book Antiqua" w:hAnsi="Book Antiqua"/>
          <w:i/>
          <w:sz w:val="18"/>
          <w:szCs w:val="18"/>
          <w:lang w:val="id-ID"/>
        </w:rPr>
        <w:t>Hierarki Ilmu</w:t>
      </w:r>
      <w:r w:rsidRPr="00B611A3">
        <w:rPr>
          <w:rFonts w:ascii="Book Antiqua" w:hAnsi="Book Antiqua"/>
          <w:sz w:val="18"/>
          <w:szCs w:val="18"/>
          <w:lang w:val="id-ID"/>
        </w:rPr>
        <w:t xml:space="preserve">, Mizan, Bandung: 1997, hlm. 106 </w:t>
      </w:r>
    </w:p>
  </w:footnote>
  <w:footnote w:id="130">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w:t>
      </w:r>
      <w:r w:rsidRPr="00B611A3">
        <w:rPr>
          <w:rFonts w:ascii="Book Antiqua" w:hAnsi="Book Antiqua"/>
          <w:sz w:val="18"/>
          <w:szCs w:val="18"/>
          <w:lang w:val="id-ID"/>
        </w:rPr>
        <w:t>,</w:t>
      </w:r>
      <w:r w:rsidRPr="00B611A3">
        <w:rPr>
          <w:rFonts w:ascii="Book Antiqua" w:hAnsi="Book Antiqua"/>
          <w:i/>
          <w:sz w:val="18"/>
          <w:szCs w:val="18"/>
          <w:lang w:val="id-ID"/>
        </w:rPr>
        <w:t>Op. Cit</w:t>
      </w:r>
      <w:r w:rsidRPr="00B611A3">
        <w:rPr>
          <w:rFonts w:ascii="Book Antiqua" w:hAnsi="Book Antiqua"/>
          <w:sz w:val="18"/>
          <w:szCs w:val="18"/>
          <w:lang w:val="id-ID"/>
        </w:rPr>
        <w:t>, hlm. 433-436</w:t>
      </w:r>
    </w:p>
  </w:footnote>
  <w:footnote w:id="1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Ludwing von Wiittgenstein</w:t>
      </w:r>
      <w:r w:rsidRPr="00B611A3">
        <w:rPr>
          <w:rFonts w:ascii="Book Antiqua" w:hAnsi="Book Antiqua"/>
          <w:sz w:val="18"/>
          <w:szCs w:val="18"/>
          <w:lang w:val="id-ID"/>
        </w:rPr>
        <w:t xml:space="preserve">, </w:t>
      </w:r>
      <w:r w:rsidRPr="00B611A3">
        <w:rPr>
          <w:rFonts w:ascii="Book Antiqua" w:hAnsi="Book Antiqua"/>
          <w:i/>
          <w:sz w:val="18"/>
          <w:szCs w:val="18"/>
          <w:lang w:val="id-ID"/>
        </w:rPr>
        <w:t>Tractatus Logico Philosophicus</w:t>
      </w:r>
      <w:r w:rsidRPr="00B611A3">
        <w:rPr>
          <w:rFonts w:ascii="Book Antiqua" w:hAnsi="Book Antiqua"/>
          <w:sz w:val="18"/>
          <w:szCs w:val="18"/>
          <w:lang w:val="id-ID"/>
        </w:rPr>
        <w:t xml:space="preserve">, Routledge &amp; Kegan Paul, London: 1972, hlm. 129, dalam </w:t>
      </w:r>
      <w:r w:rsidRPr="00B611A3">
        <w:rPr>
          <w:rFonts w:ascii="Book Antiqua" w:hAnsi="Book Antiqua"/>
          <w:sz w:val="18"/>
          <w:szCs w:val="18"/>
        </w:rPr>
        <w:t xml:space="preserve">Jujun Suriasumantri, </w:t>
      </w:r>
      <w:r w:rsidRPr="00B611A3">
        <w:rPr>
          <w:rFonts w:ascii="Book Antiqua" w:hAnsi="Book Antiqua"/>
          <w:i/>
          <w:sz w:val="18"/>
          <w:szCs w:val="18"/>
          <w:lang w:val="id-ID"/>
        </w:rPr>
        <w:t>Op. Cit</w:t>
      </w:r>
      <w:r w:rsidRPr="00B611A3">
        <w:rPr>
          <w:rFonts w:ascii="Book Antiqua" w:hAnsi="Book Antiqua"/>
          <w:sz w:val="18"/>
          <w:szCs w:val="18"/>
          <w:lang w:val="id-ID"/>
        </w:rPr>
        <w:t>, hlm. 48-49</w:t>
      </w:r>
    </w:p>
  </w:footnote>
  <w:footnote w:id="1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Hal ini seperti dikemukakan al-Farabi yang membagi akal menjadi tiga tingkatan: akal potensial yang bersifat normal biasa, akal aktual sebagai daya ilmiah dan akal </w:t>
      </w:r>
      <w:r w:rsidRPr="00B611A3">
        <w:rPr>
          <w:rFonts w:ascii="Book Antiqua" w:hAnsi="Book Antiqua"/>
          <w:i/>
          <w:sz w:val="18"/>
          <w:szCs w:val="18"/>
          <w:lang w:val="id-ID"/>
        </w:rPr>
        <w:t>mustafad</w:t>
      </w:r>
      <w:r w:rsidRPr="00B611A3">
        <w:rPr>
          <w:rFonts w:ascii="Book Antiqua" w:hAnsi="Book Antiqua"/>
          <w:sz w:val="18"/>
          <w:szCs w:val="18"/>
          <w:lang w:val="id-ID"/>
        </w:rPr>
        <w:t xml:space="preserve"> yang mampu menangkap hubungan dengan Tuhan yang hanya dimiliki oleh para Nabi dan filsuf; Harun Nasution, </w:t>
      </w:r>
      <w:r w:rsidRPr="00B611A3">
        <w:rPr>
          <w:rFonts w:ascii="Book Antiqua" w:hAnsi="Book Antiqua"/>
          <w:i/>
          <w:sz w:val="18"/>
          <w:szCs w:val="18"/>
          <w:lang w:val="id-ID"/>
        </w:rPr>
        <w:t>Loc. Cit</w:t>
      </w:r>
      <w:r w:rsidRPr="00B611A3">
        <w:rPr>
          <w:rFonts w:ascii="Book Antiqua" w:hAnsi="Book Antiqua"/>
          <w:sz w:val="18"/>
          <w:szCs w:val="18"/>
          <w:lang w:val="id-ID"/>
        </w:rPr>
        <w:t>, hlm. 30</w:t>
      </w:r>
    </w:p>
    <w:p w:rsidR="004E75CF" w:rsidRPr="00B611A3" w:rsidRDefault="004E75CF" w:rsidP="00B611A3">
      <w:pPr>
        <w:pStyle w:val="FootnoteText"/>
        <w:jc w:val="both"/>
        <w:rPr>
          <w:rFonts w:ascii="Book Antiqua" w:hAnsi="Book Antiqua"/>
          <w:sz w:val="18"/>
          <w:szCs w:val="18"/>
          <w:lang w:val="id-ID"/>
        </w:rPr>
      </w:pPr>
    </w:p>
  </w:footnote>
  <w:footnote w:id="1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Lihat</w:t>
      </w:r>
      <w:r w:rsidRPr="00B611A3">
        <w:rPr>
          <w:rFonts w:ascii="Book Antiqua" w:hAnsi="Book Antiqua"/>
          <w:sz w:val="18"/>
          <w:szCs w:val="18"/>
          <w:lang w:val="id-ID"/>
        </w:rPr>
        <w:t xml:space="preserve"> </w:t>
      </w:r>
      <w:r w:rsidRPr="00B611A3">
        <w:rPr>
          <w:rFonts w:ascii="Book Antiqua" w:hAnsi="Book Antiqua"/>
          <w:sz w:val="18"/>
          <w:szCs w:val="18"/>
        </w:rPr>
        <w:t>N.E. Algra dan K. Van Duyvendijk,</w:t>
      </w:r>
      <w:r w:rsidRPr="00B611A3">
        <w:rPr>
          <w:rFonts w:ascii="Book Antiqua" w:hAnsi="Book Antiqua"/>
          <w:sz w:val="18"/>
          <w:szCs w:val="18"/>
          <w:lang w:val="id-ID"/>
        </w:rPr>
        <w:t xml:space="preserve"> </w:t>
      </w:r>
      <w:r w:rsidRPr="00B611A3">
        <w:rPr>
          <w:rFonts w:ascii="Book Antiqua" w:hAnsi="Book Antiqua"/>
          <w:i/>
          <w:sz w:val="18"/>
          <w:szCs w:val="18"/>
        </w:rPr>
        <w:t>Rechtanvaang</w:t>
      </w:r>
      <w:r w:rsidRPr="00B611A3">
        <w:rPr>
          <w:rFonts w:ascii="Book Antiqua" w:hAnsi="Book Antiqua"/>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Simorangkir</w:t>
      </w:r>
      <w:r w:rsidRPr="00B611A3">
        <w:rPr>
          <w:rFonts w:ascii="Book Antiqua" w:hAnsi="Book Antiqua"/>
          <w:sz w:val="18"/>
          <w:szCs w:val="18"/>
          <w:lang w:val="id-ID"/>
        </w:rPr>
        <w:t xml:space="preserve"> menjadi: </w:t>
      </w:r>
      <w:r w:rsidRPr="00B611A3">
        <w:rPr>
          <w:rFonts w:ascii="Book Antiqua" w:hAnsi="Book Antiqua"/>
          <w:sz w:val="18"/>
          <w:szCs w:val="18"/>
        </w:rPr>
        <w:t>Mula Hukum,</w:t>
      </w:r>
      <w:r w:rsidRPr="00B611A3">
        <w:rPr>
          <w:rFonts w:ascii="Book Antiqua" w:hAnsi="Book Antiqua"/>
          <w:sz w:val="18"/>
          <w:szCs w:val="18"/>
          <w:lang w:val="id-ID"/>
        </w:rPr>
        <w:t xml:space="preserve"> </w:t>
      </w:r>
      <w:r w:rsidRPr="00B611A3">
        <w:rPr>
          <w:rFonts w:ascii="Book Antiqua" w:hAnsi="Book Antiqua"/>
          <w:sz w:val="18"/>
          <w:szCs w:val="18"/>
        </w:rPr>
        <w:t>Binacipta,</w:t>
      </w:r>
      <w:r w:rsidRPr="00B611A3">
        <w:rPr>
          <w:rFonts w:ascii="Book Antiqua" w:hAnsi="Book Antiqua"/>
          <w:sz w:val="18"/>
          <w:szCs w:val="18"/>
          <w:lang w:val="id-ID"/>
        </w:rPr>
        <w:t xml:space="preserve"> Jakarta: 1983, hlm. </w:t>
      </w:r>
      <w:r w:rsidRPr="00B611A3">
        <w:rPr>
          <w:rFonts w:ascii="Book Antiqua" w:hAnsi="Book Antiqua"/>
          <w:sz w:val="18"/>
          <w:szCs w:val="18"/>
        </w:rPr>
        <w:t>139</w:t>
      </w:r>
    </w:p>
  </w:footnote>
  <w:footnote w:id="1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Miska Muhammad Amin,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2-3; Muhsin Mahdi,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240; Muslim Ishak,</w:t>
      </w:r>
      <w:r w:rsidRPr="00B611A3">
        <w:rPr>
          <w:rFonts w:ascii="Book Antiqua" w:hAnsi="Book Antiqua"/>
          <w:i/>
          <w:sz w:val="18"/>
          <w:szCs w:val="18"/>
          <w:lang w:val="id-ID"/>
        </w:rPr>
        <w:t>Loc. Cit</w:t>
      </w:r>
      <w:r w:rsidRPr="00B611A3">
        <w:rPr>
          <w:rFonts w:ascii="Book Antiqua" w:hAnsi="Book Antiqua"/>
          <w:sz w:val="18"/>
          <w:szCs w:val="18"/>
          <w:lang w:val="id-ID"/>
        </w:rPr>
        <w:t>, hlm. 32</w:t>
      </w:r>
    </w:p>
  </w:footnote>
  <w:footnote w:id="13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Rene Descartes </w:t>
      </w:r>
      <w:r w:rsidRPr="00B611A3">
        <w:rPr>
          <w:rFonts w:ascii="Book Antiqua" w:hAnsi="Book Antiqua"/>
          <w:sz w:val="18"/>
          <w:szCs w:val="18"/>
          <w:lang w:val="id-ID"/>
        </w:rPr>
        <w:t xml:space="preserve">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136">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Takwin</w:t>
      </w:r>
      <w:r w:rsidRPr="00B611A3">
        <w:rPr>
          <w:rFonts w:ascii="Book Antiqua" w:hAnsi="Book Antiqua"/>
          <w:sz w:val="18"/>
          <w:szCs w:val="18"/>
          <w:lang w:val="id-ID"/>
        </w:rPr>
        <w:t>,</w:t>
      </w:r>
      <w:r w:rsidRPr="00B611A3">
        <w:rPr>
          <w:rFonts w:ascii="Book Antiqua" w:hAnsi="Book Antiqua"/>
          <w:i/>
          <w:sz w:val="18"/>
          <w:szCs w:val="18"/>
          <w:lang w:val="id-ID"/>
        </w:rPr>
        <w:t>Ibid,</w:t>
      </w:r>
      <w:r w:rsidRPr="00B611A3">
        <w:rPr>
          <w:rFonts w:ascii="Book Antiqua" w:hAnsi="Book Antiqua"/>
          <w:sz w:val="18"/>
          <w:szCs w:val="18"/>
          <w:lang w:val="id-ID"/>
        </w:rPr>
        <w:t xml:space="preserve"> hlm. 29-30</w:t>
      </w:r>
    </w:p>
  </w:footnote>
  <w:footnote w:id="1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Auguste Comte,</w:t>
      </w:r>
      <w:r w:rsidRPr="00B611A3">
        <w:rPr>
          <w:rFonts w:ascii="Book Antiqua" w:hAnsi="Book Antiqua"/>
          <w:i/>
          <w:sz w:val="18"/>
          <w:szCs w:val="18"/>
          <w:lang w:val="id-ID"/>
        </w:rPr>
        <w:t>Loc. Cit,</w:t>
      </w:r>
      <w:r w:rsidRPr="00B611A3">
        <w:rPr>
          <w:rFonts w:ascii="Book Antiqua" w:hAnsi="Book Antiqua"/>
          <w:sz w:val="18"/>
          <w:szCs w:val="18"/>
          <w:lang w:val="id-ID"/>
        </w:rPr>
        <w:t xml:space="preserve"> hlm. 34-35</w:t>
      </w:r>
    </w:p>
  </w:footnote>
  <w:footnote w:id="1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Heinrich A. Rommen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44-45</w:t>
      </w:r>
    </w:p>
  </w:footnote>
  <w:footnote w:id="1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Pemahaman analitik ilmiah yang objektif dari positivisme hukum juga berdasar hal-hal konkrit, dalam ilmu pengetauan seperti dikemukakan Ibn Rusyd, bahwa pengenalan tentang objek berkaitan dengan sebab dan prinsip yang melingkupinya. Objek pengetahuan dapat berupa objek rasioal yang merupakan substansi dari objek inderawi, yaitu esensi dan bentuk-bentuknya; Ibn Rusyd,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127  </w:t>
      </w:r>
    </w:p>
  </w:footnote>
  <w:footnote w:id="1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Objek positivisme hukum berupa peraturan perundang-undangan yang berlaku pada waktu dan tempat tertentu menunjukkan sifat dasar dari cara kerja akal yang pada tahap awal adalah pengenalan terhadap objek secara riil dan pada tahap selanjutnya adalah melakukan analisis secara rasional untuk menemukan kebenaran dibalik realitas nyata tersebut. Hal ini seperti dikemukakan oleh Ibn Thufail terkait dengan kemampuan akal untuk memahami bentuk-bentuk wujud yang sebenarnya; Pradana Boy ZTF, </w:t>
      </w:r>
      <w:r w:rsidRPr="00B611A3">
        <w:rPr>
          <w:rFonts w:ascii="Book Antiqua" w:hAnsi="Book Antiqua"/>
          <w:i/>
          <w:sz w:val="18"/>
          <w:szCs w:val="18"/>
          <w:lang w:val="id-ID"/>
        </w:rPr>
        <w:t>Loc. Cit</w:t>
      </w:r>
      <w:r w:rsidRPr="00B611A3">
        <w:rPr>
          <w:rFonts w:ascii="Book Antiqua" w:hAnsi="Book Antiqua"/>
          <w:sz w:val="18"/>
          <w:szCs w:val="18"/>
          <w:lang w:val="id-ID"/>
        </w:rPr>
        <w:t>, hlm. 185-188</w:t>
      </w:r>
    </w:p>
  </w:footnote>
  <w:footnote w:id="1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 Loc. Cit</w:t>
      </w:r>
      <w:r w:rsidRPr="00B611A3">
        <w:rPr>
          <w:rFonts w:ascii="Book Antiqua" w:hAnsi="Book Antiqua"/>
          <w:sz w:val="18"/>
          <w:szCs w:val="18"/>
          <w:lang w:val="id-ID"/>
        </w:rPr>
        <w:t>, hlm. 257-258</w:t>
      </w:r>
    </w:p>
  </w:footnote>
  <w:footnote w:id="1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 xml:space="preserve">Austin, </w:t>
      </w:r>
      <w:r w:rsidRPr="00B611A3">
        <w:rPr>
          <w:rFonts w:ascii="Book Antiqua" w:hAnsi="Book Antiqua"/>
          <w:i/>
          <w:sz w:val="18"/>
          <w:szCs w:val="18"/>
        </w:rPr>
        <w:t>TheProvince of Jurisprudence Determined</w:t>
      </w:r>
      <w:r w:rsidRPr="00B611A3">
        <w:rPr>
          <w:rFonts w:ascii="Book Antiqua" w:hAnsi="Book Antiqua"/>
          <w:i/>
          <w:sz w:val="18"/>
          <w:szCs w:val="18"/>
          <w:lang w:val="id-ID"/>
        </w:rPr>
        <w:t>, Loc. Cit</w:t>
      </w:r>
      <w:r w:rsidRPr="00B611A3">
        <w:rPr>
          <w:rFonts w:ascii="Book Antiqua" w:hAnsi="Book Antiqua"/>
          <w:sz w:val="18"/>
          <w:szCs w:val="18"/>
          <w:lang w:val="id-ID"/>
        </w:rPr>
        <w:t>, hlm. 18</w:t>
      </w:r>
      <w:r w:rsidRPr="00B611A3">
        <w:rPr>
          <w:rFonts w:ascii="Book Antiqua" w:hAnsi="Book Antiqua"/>
          <w:sz w:val="18"/>
          <w:szCs w:val="18"/>
        </w:rPr>
        <w:t>-22</w:t>
      </w:r>
    </w:p>
  </w:footnote>
  <w:footnote w:id="1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Austin,</w:t>
      </w:r>
      <w:r w:rsidRPr="00B611A3">
        <w:rPr>
          <w:rFonts w:ascii="Book Antiqua" w:hAnsi="Book Antiqua"/>
          <w:i/>
          <w:sz w:val="18"/>
          <w:szCs w:val="18"/>
        </w:rPr>
        <w:t>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hlm. 18</w:t>
      </w:r>
    </w:p>
  </w:footnote>
  <w:footnote w:id="1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w:t>
      </w:r>
      <w:r w:rsidRPr="00B611A3">
        <w:rPr>
          <w:rFonts w:ascii="Book Antiqua" w:hAnsi="Book Antiqua"/>
          <w:i/>
          <w:sz w:val="18"/>
          <w:szCs w:val="18"/>
          <w:lang w:val="id-ID"/>
        </w:rPr>
        <w:t>Loc. Cit</w:t>
      </w:r>
      <w:r w:rsidRPr="00B611A3">
        <w:rPr>
          <w:rFonts w:ascii="Book Antiqua" w:hAnsi="Book Antiqua"/>
          <w:sz w:val="18"/>
          <w:szCs w:val="18"/>
          <w:lang w:val="id-ID"/>
        </w:rPr>
        <w:t>, hlm. 259</w:t>
      </w:r>
    </w:p>
  </w:footnote>
  <w:footnote w:id="1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Hart dalam Teguh Prasetyo dan Abdul Hakim Barkatulah, </w:t>
      </w:r>
      <w:r w:rsidRPr="00B611A3">
        <w:rPr>
          <w:rFonts w:ascii="Book Antiqua" w:hAnsi="Book Antiqua"/>
          <w:i/>
          <w:sz w:val="18"/>
          <w:szCs w:val="18"/>
          <w:lang w:val="id-ID"/>
        </w:rPr>
        <w:t>Ilmu Hukum dan Filsahat Hukum</w:t>
      </w:r>
      <w:r w:rsidRPr="00B611A3">
        <w:rPr>
          <w:rFonts w:ascii="Book Antiqua" w:hAnsi="Book Antiqua"/>
          <w:sz w:val="18"/>
          <w:szCs w:val="18"/>
          <w:lang w:val="id-ID"/>
        </w:rPr>
        <w:t>, Pustaka Pelajar, Yogyakarta: 2007, hlm. 97</w:t>
      </w:r>
    </w:p>
  </w:footnote>
  <w:footnote w:id="1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Kennet Einar Himma, </w:t>
      </w:r>
      <w:r w:rsidRPr="00B611A3">
        <w:rPr>
          <w:rFonts w:ascii="Book Antiqua" w:hAnsi="Book Antiqua"/>
          <w:i/>
          <w:sz w:val="18"/>
          <w:szCs w:val="18"/>
          <w:lang w:val="id-ID"/>
        </w:rPr>
        <w:t>Loc. Cit</w:t>
      </w:r>
      <w:r w:rsidRPr="00B611A3">
        <w:rPr>
          <w:rFonts w:ascii="Book Antiqua" w:hAnsi="Book Antiqua"/>
          <w:sz w:val="18"/>
          <w:szCs w:val="18"/>
          <w:lang w:val="id-ID"/>
        </w:rPr>
        <w:t>, hlm. 125</w:t>
      </w:r>
    </w:p>
  </w:footnote>
  <w:footnote w:id="147">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A.Freeman,</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1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sz w:val="18"/>
          <w:szCs w:val="18"/>
          <w:lang w:val="id-ID"/>
        </w:rPr>
        <w:t xml:space="preserve">, </w:t>
      </w:r>
      <w:r w:rsidRPr="00B611A3">
        <w:rPr>
          <w:rFonts w:ascii="Book Antiqua" w:hAnsi="Book Antiqua"/>
          <w:i/>
          <w:sz w:val="18"/>
          <w:szCs w:val="18"/>
        </w:rPr>
        <w:t>The Concept of Law</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302</w:t>
      </w:r>
    </w:p>
  </w:footnote>
  <w:footnote w:id="1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Jimly Asshiddiqie dan M. Ali Safa’at,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8-9 </w:t>
      </w:r>
    </w:p>
  </w:footnote>
  <w:footnote w:id="1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1</w:t>
      </w:r>
    </w:p>
  </w:footnote>
  <w:footnote w:id="1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Law as a Means to an End, </w:t>
      </w:r>
      <w:r w:rsidRPr="00B611A3">
        <w:rPr>
          <w:rFonts w:ascii="Book Antiqua" w:hAnsi="Book Antiqua"/>
          <w:i/>
          <w:sz w:val="18"/>
          <w:szCs w:val="18"/>
          <w:lang w:val="id-ID"/>
        </w:rPr>
        <w:t>Loc. Cit</w:t>
      </w:r>
      <w:r w:rsidRPr="00B611A3">
        <w:rPr>
          <w:rFonts w:ascii="Book Antiqua" w:hAnsi="Book Antiqua"/>
          <w:sz w:val="18"/>
          <w:szCs w:val="18"/>
          <w:lang w:val="id-ID"/>
        </w:rPr>
        <w:t>, hlm. 48</w:t>
      </w:r>
    </w:p>
  </w:footnote>
  <w:footnote w:id="15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 </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170</w:t>
      </w:r>
    </w:p>
  </w:footnote>
  <w:footnote w:id="15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Analisis logis dari data-data hukum tersebut menunjukkan bagaimana cara kerja akal dalam mengkaji dan menjelaskan hukum, agar dapat diterima secara rasional. Penggunaan akal oleh manusia untuk berpikir dalam hal ini sebagaimana dijelaskan dalam Q.S Yunus ayat 100; </w:t>
      </w:r>
      <w:r w:rsidRPr="00B611A3">
        <w:rPr>
          <w:rFonts w:ascii="Book Antiqua" w:hAnsi="Book Antiqua"/>
          <w:i/>
          <w:sz w:val="18"/>
          <w:szCs w:val="18"/>
          <w:lang w:val="id-ID"/>
        </w:rPr>
        <w:t>“Dan tidak ada seorangpun akan beriman kecuali dengan izin Allah; dan Allah menimpakan kemurkaan kepada orang-orang yang tidak mempergunakan akalnya”</w:t>
      </w:r>
      <w:r w:rsidRPr="00B611A3">
        <w:rPr>
          <w:rFonts w:ascii="Book Antiqua" w:hAnsi="Book Antiqua"/>
          <w:sz w:val="18"/>
          <w:szCs w:val="18"/>
          <w:lang w:val="id-ID"/>
        </w:rPr>
        <w:t>.</w:t>
      </w:r>
    </w:p>
  </w:footnote>
  <w:footnote w:id="15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John Austin,</w:t>
      </w:r>
      <w:r w:rsidRPr="00B611A3">
        <w:rPr>
          <w:rFonts w:ascii="Book Antiqua" w:hAnsi="Book Antiqua"/>
          <w:i/>
          <w:sz w:val="18"/>
          <w:szCs w:val="18"/>
        </w:rPr>
        <w:t xml:space="preserve"> TheProvince of Jurisprudence Determined</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20-22</w:t>
      </w:r>
    </w:p>
  </w:footnote>
  <w:footnote w:id="15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John Austin,</w:t>
      </w:r>
      <w:r w:rsidRPr="00B611A3">
        <w:rPr>
          <w:rFonts w:ascii="Book Antiqua" w:hAnsi="Book Antiqua"/>
          <w:i/>
          <w:sz w:val="18"/>
          <w:szCs w:val="18"/>
        </w:rPr>
        <w:t xml:space="preserve"> 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hlm. 18</w:t>
      </w:r>
    </w:p>
  </w:footnote>
  <w:footnote w:id="15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 </w:t>
      </w:r>
      <w:r w:rsidRPr="00B611A3">
        <w:rPr>
          <w:rFonts w:ascii="Book Antiqua" w:hAnsi="Book Antiqua"/>
          <w:i/>
          <w:sz w:val="18"/>
          <w:szCs w:val="18"/>
          <w:lang w:val="id-ID"/>
        </w:rPr>
        <w:t>Legal Theory, Loc. Cit</w:t>
      </w:r>
      <w:r w:rsidRPr="00B611A3">
        <w:rPr>
          <w:rFonts w:ascii="Book Antiqua" w:hAnsi="Book Antiqua"/>
          <w:sz w:val="18"/>
          <w:szCs w:val="18"/>
          <w:lang w:val="id-ID"/>
        </w:rPr>
        <w:t>, hlm. 4-5</w:t>
      </w:r>
    </w:p>
  </w:footnote>
  <w:footnote w:id="15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348</w:t>
      </w:r>
      <w:r w:rsidRPr="00B611A3">
        <w:rPr>
          <w:rFonts w:ascii="Book Antiqua" w:hAnsi="Book Antiqua"/>
          <w:sz w:val="18"/>
          <w:szCs w:val="18"/>
          <w:lang w:val="id-ID"/>
        </w:rPr>
        <w:t>-</w:t>
      </w:r>
      <w:r w:rsidRPr="00B611A3">
        <w:rPr>
          <w:rFonts w:ascii="Book Antiqua" w:hAnsi="Book Antiqua"/>
          <w:sz w:val="18"/>
          <w:szCs w:val="18"/>
        </w:rPr>
        <w:t>394</w:t>
      </w:r>
    </w:p>
  </w:footnote>
  <w:footnote w:id="1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The Pure Theory of Law</w:t>
      </w:r>
      <w:r w:rsidRPr="00B611A3">
        <w:rPr>
          <w:rFonts w:ascii="Book Antiqua" w:hAnsi="Book Antiqua"/>
          <w:i/>
          <w:sz w:val="18"/>
          <w:szCs w:val="18"/>
          <w:lang w:val="id-ID"/>
        </w:rPr>
        <w:t>, Ibid,</w:t>
      </w:r>
      <w:r w:rsidRPr="00B611A3">
        <w:rPr>
          <w:rFonts w:ascii="Book Antiqua" w:hAnsi="Book Antiqua"/>
          <w:sz w:val="18"/>
          <w:szCs w:val="18"/>
          <w:lang w:val="id-ID"/>
        </w:rPr>
        <w:t xml:space="preserve"> hlm.</w:t>
      </w:r>
      <w:r w:rsidRPr="00B611A3">
        <w:rPr>
          <w:rFonts w:ascii="Book Antiqua" w:hAnsi="Book Antiqua"/>
          <w:sz w:val="18"/>
          <w:szCs w:val="18"/>
        </w:rPr>
        <w:t>202.</w:t>
      </w:r>
    </w:p>
  </w:footnote>
  <w:footnote w:id="15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General Theory of Law on State, Loc. Cit</w:t>
      </w:r>
      <w:r w:rsidRPr="00B611A3">
        <w:rPr>
          <w:rFonts w:ascii="Book Antiqua" w:hAnsi="Book Antiqua"/>
          <w:sz w:val="18"/>
          <w:szCs w:val="18"/>
          <w:lang w:val="id-ID"/>
        </w:rPr>
        <w:t>, hlm. 202</w:t>
      </w:r>
    </w:p>
  </w:footnote>
  <w:footnote w:id="1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 </w:t>
      </w:r>
      <w:r w:rsidRPr="00B611A3">
        <w:rPr>
          <w:rFonts w:ascii="Book Antiqua" w:hAnsi="Book Antiqua"/>
          <w:sz w:val="18"/>
          <w:szCs w:val="18"/>
        </w:rPr>
        <w:t>Muslehuddin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37 </w:t>
      </w:r>
    </w:p>
  </w:footnote>
  <w:footnote w:id="1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356</w:t>
      </w:r>
    </w:p>
  </w:footnote>
  <w:footnote w:id="16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257</w:t>
      </w:r>
    </w:p>
  </w:footnote>
  <w:footnote w:id="16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Bertrand Russel</w:t>
      </w:r>
      <w:r w:rsidRPr="00B611A3">
        <w:rPr>
          <w:rFonts w:ascii="Book Antiqua" w:hAnsi="Book Antiqua" w:cs="Times New Roman"/>
          <w:sz w:val="18"/>
          <w:szCs w:val="18"/>
          <w:lang w:val="id-ID"/>
        </w:rPr>
        <w:t xml:space="preserve"> dalam 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206 </w:t>
      </w:r>
    </w:p>
  </w:footnote>
  <w:footnote w:id="16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Menurut al-Jabiriada tiga tahapan dalam melakukan silogisme.</w:t>
      </w:r>
      <w:r w:rsidRPr="00B611A3">
        <w:rPr>
          <w:rFonts w:ascii="Book Antiqua" w:hAnsi="Book Antiqua" w:cs="Times New Roman"/>
          <w:i/>
          <w:sz w:val="18"/>
          <w:szCs w:val="18"/>
        </w:rPr>
        <w:t>Pertama</w:t>
      </w:r>
      <w:r w:rsidRPr="00B611A3">
        <w:rPr>
          <w:rFonts w:ascii="Book Antiqua" w:hAnsi="Book Antiqua" w:cs="Times New Roman"/>
          <w:sz w:val="18"/>
          <w:szCs w:val="18"/>
        </w:rPr>
        <w:t>; tahap pengertian,merupakan proses abstraksi atas objek eksternal yang masuk kedalam akal. Akal adalah metode yang paling baik dan unggul, karena konsep intelektual akal diambil dari objek-objek eksternal yang ditangkap oleh indera.</w:t>
      </w:r>
      <w:r w:rsidRPr="00B611A3">
        <w:rPr>
          <w:rFonts w:ascii="Book Antiqua" w:hAnsi="Book Antiqua" w:cs="Times New Roman"/>
          <w:i/>
          <w:sz w:val="18"/>
          <w:szCs w:val="18"/>
        </w:rPr>
        <w:t>Kedua</w:t>
      </w:r>
      <w:r w:rsidRPr="00B611A3">
        <w:rPr>
          <w:rFonts w:ascii="Book Antiqua" w:hAnsi="Book Antiqua" w:cs="Times New Roman"/>
          <w:sz w:val="18"/>
          <w:szCs w:val="18"/>
        </w:rPr>
        <w:t>; tahap pernyataan, merupakan proses pembentukan kalimat atau proposisi (premis) atas pengertian yang ada, disinilah terjadinya gambaran atau persepsi dalam akal.</w:t>
      </w:r>
      <w:r w:rsidRPr="00B611A3">
        <w:rPr>
          <w:rFonts w:ascii="Book Antiqua" w:hAnsi="Book Antiqua" w:cs="Times New Roman"/>
          <w:i/>
          <w:sz w:val="18"/>
          <w:szCs w:val="18"/>
        </w:rPr>
        <w:t>Ketiga;</w:t>
      </w:r>
      <w:r w:rsidRPr="00B611A3">
        <w:rPr>
          <w:rFonts w:ascii="Book Antiqua" w:hAnsi="Book Antiqua" w:cs="Times New Roman"/>
          <w:sz w:val="18"/>
          <w:szCs w:val="18"/>
        </w:rPr>
        <w:t xml:space="preserve"> tahap penalaran, merupakan proses pengambilan kesimpulan berdasarkan atas hubungan diantara premis-premis yang ada, disinilah terjadi silogisme.</w:t>
      </w:r>
      <w:r w:rsidRPr="00B611A3">
        <w:rPr>
          <w:rFonts w:ascii="Book Antiqua" w:hAnsi="Book Antiqua" w:cs="Times New Roman"/>
          <w:sz w:val="18"/>
          <w:szCs w:val="18"/>
          <w:lang w:val="id-ID"/>
        </w:rPr>
        <w:t xml:space="preserve"> Lihat a</w:t>
      </w:r>
      <w:r w:rsidRPr="00B611A3">
        <w:rPr>
          <w:rFonts w:ascii="Book Antiqua" w:hAnsi="Book Antiqua"/>
          <w:sz w:val="18"/>
          <w:szCs w:val="18"/>
          <w:lang w:val="id-ID"/>
        </w:rPr>
        <w:t xml:space="preserve">l-Jabiri, </w:t>
      </w:r>
      <w:r w:rsidRPr="00B611A3">
        <w:rPr>
          <w:rFonts w:ascii="Book Antiqua" w:hAnsi="Book Antiqua"/>
          <w:i/>
          <w:sz w:val="18"/>
          <w:szCs w:val="18"/>
        </w:rPr>
        <w:t>Bunyah</w:t>
      </w:r>
      <w:r w:rsidRPr="00B611A3">
        <w:rPr>
          <w:rFonts w:ascii="Book Antiqua" w:hAnsi="Book Antiqua"/>
          <w:i/>
          <w:sz w:val="18"/>
          <w:szCs w:val="18"/>
          <w:lang w:val="id-ID"/>
        </w:rPr>
        <w:t>,Ibid</w:t>
      </w:r>
      <w:r w:rsidRPr="00B611A3">
        <w:rPr>
          <w:rFonts w:ascii="Book Antiqua" w:hAnsi="Book Antiqua"/>
          <w:sz w:val="18"/>
          <w:szCs w:val="18"/>
          <w:lang w:val="id-ID"/>
        </w:rPr>
        <w:t>, hlm. 384-436; Lihat al-Farabi dalam Osman Bakar</w:t>
      </w:r>
      <w:r w:rsidRPr="00B611A3">
        <w:rPr>
          <w:rFonts w:ascii="Book Antiqua" w:hAnsi="Book Antiqua"/>
          <w:i/>
          <w:sz w:val="18"/>
          <w:szCs w:val="18"/>
          <w:lang w:val="id-ID"/>
        </w:rPr>
        <w:t>, Ibid,</w:t>
      </w:r>
      <w:r w:rsidRPr="00B611A3">
        <w:rPr>
          <w:rFonts w:ascii="Book Antiqua" w:hAnsi="Book Antiqua"/>
          <w:sz w:val="18"/>
          <w:szCs w:val="18"/>
          <w:lang w:val="id-ID"/>
        </w:rPr>
        <w:t xml:space="preserve"> hlm. 106 </w:t>
      </w:r>
    </w:p>
  </w:footnote>
  <w:footnote w:id="1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Ludwing </w:t>
      </w:r>
      <w:r w:rsidRPr="00B611A3">
        <w:rPr>
          <w:rFonts w:ascii="Book Antiqua" w:hAnsi="Book Antiqua"/>
          <w:sz w:val="18"/>
          <w:szCs w:val="18"/>
          <w:lang w:val="id-ID"/>
        </w:rPr>
        <w:t>V</w:t>
      </w:r>
      <w:r w:rsidRPr="00B611A3">
        <w:rPr>
          <w:rFonts w:ascii="Book Antiqua" w:hAnsi="Book Antiqua"/>
          <w:sz w:val="18"/>
          <w:szCs w:val="18"/>
        </w:rPr>
        <w:t>on Wiittgenstein</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129</w:t>
      </w:r>
    </w:p>
  </w:footnote>
  <w:footnote w:id="1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Pure Theory Of Law, Loc. Cit</w:t>
      </w:r>
      <w:r w:rsidRPr="00B611A3">
        <w:rPr>
          <w:rFonts w:ascii="Book Antiqua" w:hAnsi="Book Antiqua"/>
          <w:sz w:val="18"/>
          <w:szCs w:val="18"/>
          <w:lang w:val="id-ID"/>
        </w:rPr>
        <w:t>, hlm. 1-3</w:t>
      </w:r>
    </w:p>
  </w:footnote>
  <w:footnote w:id="1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L. Paulson, </w:t>
      </w:r>
      <w:r w:rsidRPr="00B611A3">
        <w:rPr>
          <w:rFonts w:ascii="Book Antiqua" w:hAnsi="Book Antiqua"/>
          <w:i/>
          <w:sz w:val="18"/>
          <w:szCs w:val="18"/>
          <w:lang w:val="id-ID"/>
        </w:rPr>
        <w:t>Loc. Cit</w:t>
      </w:r>
      <w:r w:rsidRPr="00B611A3">
        <w:rPr>
          <w:rFonts w:ascii="Book Antiqua" w:hAnsi="Book Antiqua"/>
          <w:sz w:val="18"/>
          <w:szCs w:val="18"/>
          <w:lang w:val="id-ID"/>
        </w:rPr>
        <w:t>, hlm. 26</w:t>
      </w:r>
    </w:p>
  </w:footnote>
  <w:footnote w:id="1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Pascal</w:t>
      </w:r>
      <w:r w:rsidRPr="00B611A3">
        <w:rPr>
          <w:rFonts w:ascii="Book Antiqua" w:hAnsi="Book Antiqua"/>
          <w:sz w:val="18"/>
          <w:szCs w:val="18"/>
          <w:lang w:val="id-ID"/>
        </w:rPr>
        <w:t xml:space="preserve"> dalam</w:t>
      </w:r>
      <w:r w:rsidRPr="00B611A3">
        <w:rPr>
          <w:rFonts w:ascii="Book Antiqua" w:hAnsi="Book Antiqua"/>
          <w:sz w:val="18"/>
          <w:szCs w:val="18"/>
        </w:rPr>
        <w:t xml:space="preserve"> JujunSuriasumantri, </w:t>
      </w:r>
      <w:r w:rsidRPr="00B611A3">
        <w:rPr>
          <w:rFonts w:ascii="Book Antiqua" w:hAnsi="Book Antiqua"/>
          <w:i/>
          <w:sz w:val="18"/>
          <w:szCs w:val="18"/>
          <w:lang w:val="id-ID"/>
        </w:rPr>
        <w:t>Op. Cit</w:t>
      </w:r>
      <w:r w:rsidRPr="00B611A3">
        <w:rPr>
          <w:rFonts w:ascii="Book Antiqua" w:hAnsi="Book Antiqua"/>
          <w:sz w:val="18"/>
          <w:szCs w:val="18"/>
          <w:lang w:val="id-ID"/>
        </w:rPr>
        <w:t>, hlm. 53</w:t>
      </w:r>
    </w:p>
  </w:footnote>
  <w:footnote w:id="1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1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M. Honer dan Thomas C. Hunt, </w:t>
      </w:r>
      <w:r w:rsidRPr="00B611A3">
        <w:rPr>
          <w:rFonts w:ascii="Book Antiqua" w:hAnsi="Book Antiqua"/>
          <w:i/>
          <w:sz w:val="18"/>
          <w:szCs w:val="18"/>
          <w:lang w:val="id-ID"/>
        </w:rPr>
        <w:t>Invitation to Philosophy</w:t>
      </w:r>
      <w:r w:rsidRPr="00B611A3">
        <w:rPr>
          <w:rFonts w:ascii="Book Antiqua" w:hAnsi="Book Antiqua"/>
          <w:sz w:val="18"/>
          <w:szCs w:val="18"/>
          <w:lang w:val="id-ID"/>
        </w:rPr>
        <w:t>, Belmont, Cal. Wadsworth, 1968, hlm. 72, dalam Jujun Suriasumantri, hlm. 53</w:t>
      </w:r>
    </w:p>
  </w:footnote>
  <w:footnote w:id="1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George F. Kneller, </w:t>
      </w:r>
      <w:r w:rsidRPr="00B611A3">
        <w:rPr>
          <w:rFonts w:ascii="Book Antiqua" w:hAnsi="Book Antiqua"/>
          <w:i/>
          <w:sz w:val="18"/>
          <w:szCs w:val="18"/>
          <w:lang w:val="id-ID"/>
        </w:rPr>
        <w:t>Introduktion to the Philosophy of Education</w:t>
      </w:r>
      <w:r w:rsidRPr="00B611A3">
        <w:rPr>
          <w:rFonts w:ascii="Book Antiqua" w:hAnsi="Book Antiqua"/>
          <w:sz w:val="18"/>
          <w:szCs w:val="18"/>
          <w:lang w:val="id-ID"/>
        </w:rPr>
        <w:t xml:space="preserve">, John Wiley, New York: 1968, hlm. 10, dalam Jujun Suriasumantri, hlm. 53 </w:t>
      </w:r>
    </w:p>
  </w:footnote>
  <w:footnote w:id="17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Musa Asy’arie,</w:t>
      </w:r>
      <w:r w:rsidRPr="00B611A3">
        <w:rPr>
          <w:rFonts w:ascii="Book Antiqua" w:hAnsi="Book Antiqua"/>
          <w:i/>
          <w:sz w:val="18"/>
          <w:szCs w:val="18"/>
        </w:rPr>
        <w:t>Filsafat Islam tenta</w:t>
      </w:r>
      <w:r w:rsidRPr="00B611A3">
        <w:rPr>
          <w:rFonts w:ascii="Book Antiqua" w:hAnsi="Book Antiqua"/>
          <w:i/>
          <w:sz w:val="18"/>
          <w:szCs w:val="18"/>
          <w:lang w:val="id-ID"/>
        </w:rPr>
        <w:t>n</w:t>
      </w:r>
      <w:r w:rsidRPr="00B611A3">
        <w:rPr>
          <w:rFonts w:ascii="Book Antiqua" w:hAnsi="Book Antiqua"/>
          <w:i/>
          <w:sz w:val="18"/>
          <w:szCs w:val="18"/>
        </w:rPr>
        <w:t>g Kebudayaan</w:t>
      </w:r>
      <w:r w:rsidRPr="00B611A3">
        <w:rPr>
          <w:rFonts w:ascii="Book Antiqua" w:hAnsi="Book Antiqua"/>
          <w:sz w:val="18"/>
          <w:szCs w:val="18"/>
        </w:rPr>
        <w:t>,LESFI, Yogyakarta</w:t>
      </w:r>
      <w:r w:rsidRPr="00B611A3">
        <w:rPr>
          <w:rFonts w:ascii="Book Antiqua" w:hAnsi="Book Antiqua"/>
          <w:sz w:val="18"/>
          <w:szCs w:val="18"/>
          <w:lang w:val="id-ID"/>
        </w:rPr>
        <w:t xml:space="preserve">: 1999, hlm. </w:t>
      </w:r>
      <w:r w:rsidRPr="00B611A3">
        <w:rPr>
          <w:rFonts w:ascii="Book Antiqua" w:hAnsi="Book Antiqua"/>
          <w:sz w:val="18"/>
          <w:szCs w:val="18"/>
        </w:rPr>
        <w:t>22</w:t>
      </w:r>
    </w:p>
  </w:footnote>
  <w:footnote w:id="17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rPr>
        <w:t>Sufi dari Zaman ke Zaman: Suatu Pengantar tentang Tasawuf</w:t>
      </w:r>
      <w:r w:rsidRPr="00B611A3">
        <w:rPr>
          <w:rFonts w:ascii="Book Antiqua" w:hAnsi="Book Antiqua"/>
          <w:i/>
          <w:sz w:val="18"/>
          <w:szCs w:val="18"/>
          <w:lang w:val="id-ID"/>
        </w:rPr>
        <w:t xml:space="preserve">, </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Ahmad Rofi’ Utsmani</w:t>
      </w:r>
      <w:r w:rsidRPr="00B611A3">
        <w:rPr>
          <w:rFonts w:ascii="Book Antiqua" w:hAnsi="Book Antiqua"/>
          <w:sz w:val="18"/>
          <w:szCs w:val="18"/>
          <w:lang w:val="id-ID"/>
        </w:rPr>
        <w:t xml:space="preserve">, </w:t>
      </w:r>
      <w:r w:rsidRPr="00B611A3">
        <w:rPr>
          <w:rFonts w:ascii="Book Antiqua" w:hAnsi="Book Antiqua"/>
          <w:sz w:val="18"/>
          <w:szCs w:val="18"/>
        </w:rPr>
        <w:t>Pustaka</w:t>
      </w:r>
      <w:r w:rsidRPr="00B611A3">
        <w:rPr>
          <w:rFonts w:ascii="Book Antiqua" w:hAnsi="Book Antiqua"/>
          <w:sz w:val="18"/>
          <w:szCs w:val="18"/>
          <w:lang w:val="id-ID"/>
        </w:rPr>
        <w:t xml:space="preserve">, </w:t>
      </w:r>
      <w:r w:rsidRPr="00B611A3">
        <w:rPr>
          <w:rFonts w:ascii="Book Antiqua" w:hAnsi="Book Antiqua"/>
          <w:sz w:val="18"/>
          <w:szCs w:val="18"/>
        </w:rPr>
        <w:t>Bandung</w:t>
      </w:r>
      <w:r w:rsidRPr="00B611A3">
        <w:rPr>
          <w:rFonts w:ascii="Book Antiqua" w:hAnsi="Book Antiqua"/>
          <w:sz w:val="18"/>
          <w:szCs w:val="18"/>
          <w:lang w:val="id-ID"/>
        </w:rPr>
        <w:t>: 2003, hlm. 165</w:t>
      </w:r>
    </w:p>
  </w:footnote>
  <w:footnote w:id="174">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zani, Abu al-Wafa al-Ghanimi</w:t>
      </w:r>
      <w:r w:rsidRPr="00B611A3">
        <w:rPr>
          <w:rFonts w:ascii="Book Antiqua" w:hAnsi="Book Antiqua"/>
          <w:sz w:val="18"/>
          <w:szCs w:val="18"/>
          <w:lang w:val="id-ID"/>
        </w:rPr>
        <w:t xml:space="preserve">, </w:t>
      </w:r>
      <w:r w:rsidRPr="00B611A3">
        <w:rPr>
          <w:rFonts w:ascii="Book Antiqua" w:hAnsi="Book Antiqua"/>
          <w:i/>
          <w:sz w:val="18"/>
          <w:szCs w:val="18"/>
          <w:lang w:val="id-ID"/>
        </w:rPr>
        <w:t>Ibid</w:t>
      </w:r>
      <w:r w:rsidRPr="00B611A3">
        <w:rPr>
          <w:rFonts w:ascii="Book Antiqua" w:hAnsi="Book Antiqua"/>
          <w:sz w:val="18"/>
          <w:szCs w:val="18"/>
          <w:lang w:val="id-ID"/>
        </w:rPr>
        <w:t>, hlm. 170-171</w:t>
      </w:r>
    </w:p>
  </w:footnote>
  <w:footnote w:id="17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Mutiara Ihya Ulumuddin,</w:t>
      </w:r>
      <w:r w:rsidRPr="00B611A3">
        <w:rPr>
          <w:rFonts w:ascii="Book Antiqua" w:hAnsi="Book Antiqua"/>
          <w:sz w:val="18"/>
          <w:szCs w:val="18"/>
          <w:lang w:val="id-ID"/>
        </w:rPr>
        <w:t>terjemah. Irwan Kurniawan, Mizan, Bandung: 1997; a</w:t>
      </w:r>
      <w:r w:rsidRPr="00B611A3">
        <w:rPr>
          <w:rFonts w:ascii="Book Antiqua" w:hAnsi="Book Antiqua"/>
          <w:sz w:val="18"/>
          <w:szCs w:val="18"/>
        </w:rPr>
        <w:t>l-Ghazali</w:t>
      </w:r>
      <w:r w:rsidRPr="00B611A3">
        <w:rPr>
          <w:rFonts w:ascii="Book Antiqua" w:hAnsi="Book Antiqua"/>
          <w:sz w:val="18"/>
          <w:szCs w:val="18"/>
          <w:lang w:val="id-ID"/>
        </w:rPr>
        <w:t xml:space="preserve">, </w:t>
      </w:r>
      <w:r w:rsidRPr="00B611A3">
        <w:rPr>
          <w:rFonts w:ascii="Book Antiqua" w:hAnsi="Book Antiqua"/>
          <w:i/>
          <w:sz w:val="18"/>
          <w:szCs w:val="18"/>
        </w:rPr>
        <w:t>Samudera Pemikiran al-G</w:t>
      </w:r>
      <w:r w:rsidRPr="00B611A3">
        <w:rPr>
          <w:rFonts w:ascii="Book Antiqua" w:hAnsi="Book Antiqua"/>
          <w:i/>
          <w:sz w:val="18"/>
          <w:szCs w:val="18"/>
          <w:lang w:val="id-ID"/>
        </w:rPr>
        <w:t>h</w:t>
      </w:r>
      <w:r w:rsidRPr="00B611A3">
        <w:rPr>
          <w:rFonts w:ascii="Book Antiqua" w:hAnsi="Book Antiqua"/>
          <w:i/>
          <w:sz w:val="18"/>
          <w:szCs w:val="18"/>
        </w:rPr>
        <w:t>azali</w:t>
      </w:r>
      <w:r w:rsidRPr="00B611A3">
        <w:rPr>
          <w:rFonts w:ascii="Book Antiqua" w:hAnsi="Book Antiqua"/>
          <w:sz w:val="18"/>
          <w:szCs w:val="18"/>
          <w:lang w:val="id-ID"/>
        </w:rPr>
        <w:t xml:space="preserve">, </w:t>
      </w:r>
      <w:r w:rsidRPr="00B611A3">
        <w:rPr>
          <w:rFonts w:ascii="Book Antiqua" w:hAnsi="Book Antiqua"/>
          <w:sz w:val="18"/>
          <w:szCs w:val="18"/>
        </w:rPr>
        <w:t>Pustaka Sufi, Yogyakarta</w:t>
      </w:r>
      <w:r w:rsidRPr="00B611A3">
        <w:rPr>
          <w:rFonts w:ascii="Book Antiqua" w:hAnsi="Book Antiqua"/>
          <w:sz w:val="18"/>
          <w:szCs w:val="18"/>
          <w:lang w:val="id-ID"/>
        </w:rPr>
        <w:t xml:space="preserve">: 2002, </w:t>
      </w:r>
      <w:r w:rsidRPr="00B611A3">
        <w:rPr>
          <w:rFonts w:ascii="Book Antiqua" w:hAnsi="Book Antiqua"/>
          <w:sz w:val="18"/>
          <w:szCs w:val="18"/>
        </w:rPr>
        <w:t>h</w:t>
      </w:r>
      <w:r w:rsidRPr="00B611A3">
        <w:rPr>
          <w:rFonts w:ascii="Book Antiqua" w:hAnsi="Book Antiqua"/>
          <w:sz w:val="18"/>
          <w:szCs w:val="18"/>
          <w:lang w:val="id-ID"/>
        </w:rPr>
        <w:t>lm. 118-</w:t>
      </w:r>
      <w:r w:rsidRPr="00B611A3">
        <w:rPr>
          <w:rFonts w:ascii="Book Antiqua" w:hAnsi="Book Antiqua"/>
          <w:sz w:val="18"/>
          <w:szCs w:val="18"/>
        </w:rPr>
        <w:t>119</w:t>
      </w:r>
    </w:p>
  </w:footnote>
  <w:footnote w:id="17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Musa Asy’arie,</w:t>
      </w:r>
      <w:r w:rsidRPr="00B611A3">
        <w:rPr>
          <w:rFonts w:ascii="Book Antiqua" w:hAnsi="Book Antiqua"/>
          <w:i/>
          <w:sz w:val="18"/>
          <w:szCs w:val="18"/>
        </w:rPr>
        <w:t>Filsafat Islam; Sunnah Nabi dalm Berpikir</w:t>
      </w:r>
      <w:r w:rsidRPr="00B611A3">
        <w:rPr>
          <w:rFonts w:ascii="Book Antiqua" w:hAnsi="Book Antiqua"/>
          <w:sz w:val="18"/>
          <w:szCs w:val="18"/>
          <w:lang w:val="id-ID"/>
        </w:rPr>
        <w:t xml:space="preserve">, </w:t>
      </w:r>
      <w:r w:rsidRPr="00B611A3">
        <w:rPr>
          <w:rFonts w:ascii="Book Antiqua" w:hAnsi="Book Antiqua"/>
          <w:sz w:val="18"/>
          <w:szCs w:val="18"/>
        </w:rPr>
        <w:t>LESFI, Yoyakarta</w:t>
      </w:r>
      <w:r w:rsidRPr="00B611A3">
        <w:rPr>
          <w:rFonts w:ascii="Book Antiqua" w:hAnsi="Book Antiqua"/>
          <w:sz w:val="18"/>
          <w:szCs w:val="18"/>
          <w:lang w:val="id-ID"/>
        </w:rPr>
        <w:t xml:space="preserve">: 2002, hlm. </w:t>
      </w:r>
      <w:r w:rsidRPr="00B611A3">
        <w:rPr>
          <w:rFonts w:ascii="Book Antiqua" w:hAnsi="Book Antiqua"/>
          <w:sz w:val="18"/>
          <w:szCs w:val="18"/>
        </w:rPr>
        <w:t>72</w:t>
      </w:r>
    </w:p>
  </w:footnote>
  <w:footnote w:id="17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Danusiri,</w:t>
      </w:r>
      <w:r w:rsidRPr="00B611A3">
        <w:rPr>
          <w:rFonts w:ascii="Book Antiqua" w:hAnsi="Book Antiqua"/>
          <w:i/>
          <w:sz w:val="18"/>
          <w:szCs w:val="18"/>
        </w:rPr>
        <w:t>Epistemologi Tasawuf Iqbal</w:t>
      </w:r>
      <w:r w:rsidRPr="00B611A3">
        <w:rPr>
          <w:rFonts w:ascii="Book Antiqua" w:hAnsi="Book Antiqua"/>
          <w:sz w:val="18"/>
          <w:szCs w:val="18"/>
          <w:lang w:val="id-ID"/>
        </w:rPr>
        <w:t xml:space="preserve">, </w:t>
      </w:r>
      <w:r w:rsidRPr="00B611A3">
        <w:rPr>
          <w:rFonts w:ascii="Book Antiqua" w:hAnsi="Book Antiqua"/>
          <w:sz w:val="18"/>
          <w:szCs w:val="18"/>
        </w:rPr>
        <w:t>Pustaka Pelajar, Yogyakarta</w:t>
      </w:r>
      <w:r w:rsidRPr="00B611A3">
        <w:rPr>
          <w:rFonts w:ascii="Book Antiqua" w:hAnsi="Book Antiqua"/>
          <w:sz w:val="18"/>
          <w:szCs w:val="18"/>
          <w:lang w:val="id-ID"/>
        </w:rPr>
        <w:t xml:space="preserve">: 1996, hlm. </w:t>
      </w:r>
      <w:r w:rsidRPr="00B611A3">
        <w:rPr>
          <w:rFonts w:ascii="Book Antiqua" w:hAnsi="Book Antiqua"/>
          <w:sz w:val="18"/>
          <w:szCs w:val="18"/>
        </w:rPr>
        <w:t>68</w:t>
      </w:r>
    </w:p>
  </w:footnote>
  <w:footnote w:id="178">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 </w:t>
      </w:r>
      <w:r w:rsidRPr="00B611A3">
        <w:rPr>
          <w:rFonts w:ascii="Book Antiqua" w:hAnsi="Book Antiqua"/>
          <w:sz w:val="18"/>
          <w:szCs w:val="18"/>
        </w:rPr>
        <w:t>Zainuddin,</w:t>
      </w:r>
      <w:r w:rsidRPr="00B611A3">
        <w:rPr>
          <w:rFonts w:ascii="Book Antiqua" w:hAnsi="Book Antiqua"/>
          <w:i/>
          <w:sz w:val="18"/>
          <w:szCs w:val="18"/>
        </w:rPr>
        <w:t>Filsafat Ilmu Perspektif Pemikiran Islam</w:t>
      </w:r>
      <w:r w:rsidRPr="00B611A3">
        <w:rPr>
          <w:rFonts w:ascii="Book Antiqua" w:hAnsi="Book Antiqua"/>
          <w:sz w:val="18"/>
          <w:szCs w:val="18"/>
          <w:lang w:val="id-ID"/>
        </w:rPr>
        <w:t xml:space="preserve">, </w:t>
      </w:r>
      <w:r w:rsidRPr="00B611A3">
        <w:rPr>
          <w:rFonts w:ascii="Book Antiqua" w:hAnsi="Book Antiqua"/>
          <w:sz w:val="18"/>
          <w:szCs w:val="18"/>
        </w:rPr>
        <w:t>Lintas Pustaka,Jakarta</w:t>
      </w:r>
      <w:r w:rsidRPr="00B611A3">
        <w:rPr>
          <w:rFonts w:ascii="Book Antiqua" w:hAnsi="Book Antiqua"/>
          <w:sz w:val="18"/>
          <w:szCs w:val="18"/>
          <w:lang w:val="id-ID"/>
        </w:rPr>
        <w:t>: 2006, hlm. 33</w:t>
      </w:r>
    </w:p>
  </w:footnote>
  <w:footnote w:id="17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 Ibid,</w:t>
      </w:r>
      <w:r w:rsidRPr="00B611A3">
        <w:rPr>
          <w:rFonts w:ascii="Book Antiqua" w:hAnsi="Book Antiqua"/>
          <w:sz w:val="18"/>
          <w:szCs w:val="18"/>
          <w:lang w:val="id-ID"/>
        </w:rPr>
        <w:t xml:space="preserve"> hlm. 281-290</w:t>
      </w:r>
    </w:p>
  </w:footnote>
  <w:footnote w:id="180">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Suhrawardi dalam khudori Soleh, </w:t>
      </w:r>
      <w:r w:rsidRPr="00B611A3">
        <w:rPr>
          <w:rFonts w:ascii="Book Antiqua" w:hAnsi="Book Antiqua"/>
          <w:i/>
          <w:sz w:val="18"/>
          <w:szCs w:val="18"/>
          <w:lang w:val="id-ID"/>
        </w:rPr>
        <w:t>Wacana Baru Filsafat Islam</w:t>
      </w:r>
      <w:r w:rsidRPr="00B611A3">
        <w:rPr>
          <w:rFonts w:ascii="Book Antiqua" w:hAnsi="Book Antiqua"/>
          <w:sz w:val="18"/>
          <w:szCs w:val="18"/>
          <w:lang w:val="id-ID"/>
        </w:rPr>
        <w:t xml:space="preserve">, Pustaka Pelajar Yogyakarta: 2004, hlm. 204-207; Seyyed Hossein Nasr, </w:t>
      </w:r>
      <w:r w:rsidRPr="00B611A3">
        <w:rPr>
          <w:rFonts w:ascii="Book Antiqua" w:hAnsi="Book Antiqua"/>
          <w:i/>
          <w:sz w:val="18"/>
          <w:szCs w:val="18"/>
          <w:lang w:val="id-ID"/>
        </w:rPr>
        <w:t>Intelektual Islam Teologi, Filsafat dan Gnosis,</w:t>
      </w:r>
      <w:r w:rsidRPr="00B611A3">
        <w:rPr>
          <w:rFonts w:ascii="Book Antiqua" w:hAnsi="Book Antiqua"/>
          <w:sz w:val="18"/>
          <w:szCs w:val="18"/>
          <w:lang w:val="id-ID"/>
        </w:rPr>
        <w:t xml:space="preserve">terjemah. Suharsono dan Jamaluddin, CIIS Press, Yogyakarta: 1995, hlm. 75; Mehdi Ha’iri Yazdi, </w:t>
      </w:r>
      <w:r w:rsidRPr="00B611A3">
        <w:rPr>
          <w:rFonts w:ascii="Book Antiqua" w:hAnsi="Book Antiqua"/>
          <w:i/>
          <w:sz w:val="18"/>
          <w:szCs w:val="18"/>
          <w:lang w:val="id-ID"/>
        </w:rPr>
        <w:t>Epistemologi Iluminasionis dalam Filsafat Islam: Menghadirkan Cahaya Tuhan</w:t>
      </w:r>
      <w:r w:rsidRPr="00B611A3">
        <w:rPr>
          <w:rFonts w:ascii="Book Antiqua" w:hAnsi="Book Antiqua"/>
          <w:sz w:val="18"/>
          <w:szCs w:val="18"/>
          <w:lang w:val="id-ID"/>
        </w:rPr>
        <w:t>, terjemah. Ahsin Muhammad, Mizan, Bandung: 2003, hlm. 65</w:t>
      </w:r>
    </w:p>
  </w:footnote>
  <w:footnote w:id="1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Titus,</w:t>
      </w:r>
      <w:r w:rsidRPr="00B611A3">
        <w:rPr>
          <w:rFonts w:ascii="Book Antiqua" w:hAnsi="Book Antiqua"/>
          <w:i/>
          <w:sz w:val="18"/>
          <w:szCs w:val="18"/>
        </w:rPr>
        <w:t>Mengenal Ajaran Kaum Sufi</w:t>
      </w:r>
      <w:r w:rsidRPr="00B611A3">
        <w:rPr>
          <w:rFonts w:ascii="Book Antiqua" w:hAnsi="Book Antiqua"/>
          <w:sz w:val="18"/>
          <w:szCs w:val="18"/>
        </w:rPr>
        <w:t>,Pustaka</w:t>
      </w:r>
      <w:r w:rsidRPr="00B611A3">
        <w:rPr>
          <w:rFonts w:ascii="Book Antiqua" w:hAnsi="Book Antiqua"/>
          <w:sz w:val="18"/>
          <w:szCs w:val="18"/>
          <w:lang w:val="id-ID"/>
        </w:rPr>
        <w:t xml:space="preserve"> Jaya, </w:t>
      </w:r>
      <w:r w:rsidRPr="00B611A3">
        <w:rPr>
          <w:rFonts w:ascii="Book Antiqua" w:hAnsi="Book Antiqua"/>
          <w:sz w:val="18"/>
          <w:szCs w:val="18"/>
        </w:rPr>
        <w:t>Jakart</w:t>
      </w:r>
      <w:r w:rsidRPr="00B611A3">
        <w:rPr>
          <w:rFonts w:ascii="Book Antiqua" w:hAnsi="Book Antiqua"/>
          <w:sz w:val="18"/>
          <w:szCs w:val="18"/>
          <w:lang w:val="id-ID"/>
        </w:rPr>
        <w:t>a: 1984, hlm. 127-131</w:t>
      </w:r>
    </w:p>
  </w:footnote>
  <w:footnote w:id="18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FazlurRahman,</w:t>
      </w:r>
      <w:r w:rsidRPr="00B611A3">
        <w:rPr>
          <w:rFonts w:ascii="Book Antiqua" w:hAnsi="Book Antiqua"/>
          <w:i/>
          <w:sz w:val="18"/>
          <w:szCs w:val="18"/>
        </w:rPr>
        <w:t>Filsafat Shadra</w:t>
      </w:r>
      <w:r w:rsidRPr="00B611A3">
        <w:rPr>
          <w:rFonts w:ascii="Book Antiqua" w:hAnsi="Book Antiqua"/>
          <w:sz w:val="18"/>
          <w:szCs w:val="18"/>
        </w:rPr>
        <w:t>,Pustaka</w:t>
      </w:r>
      <w:r w:rsidRPr="00B611A3">
        <w:rPr>
          <w:rFonts w:ascii="Book Antiqua" w:hAnsi="Book Antiqua"/>
          <w:sz w:val="18"/>
          <w:szCs w:val="18"/>
          <w:lang w:val="id-ID"/>
        </w:rPr>
        <w:t>, Bandung: 2000, hlm. 314-315</w:t>
      </w:r>
    </w:p>
  </w:footnote>
  <w:footnote w:id="18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Werner Heisenberg</w:t>
      </w:r>
      <w:r w:rsidRPr="00B611A3">
        <w:rPr>
          <w:rFonts w:ascii="Book Antiqua" w:hAnsi="Book Antiqua" w:cs="Times New Roman"/>
          <w:sz w:val="18"/>
          <w:szCs w:val="18"/>
          <w:lang w:val="id-ID"/>
        </w:rPr>
        <w:t xml:space="preserve"> dalam Fritjof Capra, </w:t>
      </w:r>
      <w:r w:rsidRPr="00B611A3">
        <w:rPr>
          <w:rFonts w:ascii="Book Antiqua" w:hAnsi="Book Antiqua" w:cs="Times New Roman"/>
          <w:i/>
          <w:sz w:val="18"/>
          <w:szCs w:val="18"/>
          <w:lang w:val="id-ID"/>
        </w:rPr>
        <w:t>The Turning Point: Science, Society and The Rising Culture</w:t>
      </w:r>
      <w:r w:rsidRPr="00B611A3">
        <w:rPr>
          <w:rFonts w:ascii="Book Antiqua" w:hAnsi="Book Antiqua" w:cs="Times New Roman"/>
          <w:sz w:val="18"/>
          <w:szCs w:val="18"/>
          <w:lang w:val="id-ID"/>
        </w:rPr>
        <w:t xml:space="preserve">, terjemah. M. Thoyibi dengan judul: Titik Balik Peradaban: Sains, Masyarakat dan Kebangkitan Kebudayaan, Pustaka Promethea, Yogyakarta: 2014, hlm. 73-74.  </w:t>
      </w:r>
    </w:p>
  </w:footnote>
  <w:footnote w:id="1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dalam Fritjof Capra, </w:t>
      </w:r>
      <w:r w:rsidRPr="00B611A3">
        <w:rPr>
          <w:rFonts w:ascii="Book Antiqua" w:hAnsi="Book Antiqua"/>
          <w:i/>
          <w:sz w:val="18"/>
          <w:szCs w:val="18"/>
          <w:lang w:val="id-ID"/>
        </w:rPr>
        <w:t>Ibid</w:t>
      </w:r>
      <w:r w:rsidRPr="00B611A3">
        <w:rPr>
          <w:rFonts w:ascii="Book Antiqua" w:hAnsi="Book Antiqua"/>
          <w:sz w:val="18"/>
          <w:szCs w:val="18"/>
          <w:lang w:val="id-ID"/>
        </w:rPr>
        <w:t>, hlm. 76-77</w:t>
      </w:r>
    </w:p>
  </w:footnote>
  <w:footnote w:id="1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Neils Bohr </w:t>
      </w:r>
      <w:r w:rsidRPr="00B611A3">
        <w:rPr>
          <w:rFonts w:ascii="Book Antiqua" w:hAnsi="Book Antiqua"/>
          <w:sz w:val="18"/>
          <w:szCs w:val="18"/>
          <w:lang w:val="id-ID"/>
        </w:rPr>
        <w:t>&amp;Henry Stapp</w:t>
      </w:r>
      <w:r w:rsidRPr="00B611A3">
        <w:rPr>
          <w:rFonts w:ascii="Book Antiqua" w:hAnsi="Book Antiqua"/>
          <w:sz w:val="18"/>
          <w:szCs w:val="18"/>
        </w:rPr>
        <w:t>dalam Fritjof Capra</w:t>
      </w:r>
      <w:r w:rsidRPr="00B611A3">
        <w:rPr>
          <w:rFonts w:ascii="Book Antiqua" w:hAnsi="Book Antiqua"/>
          <w:i/>
          <w:sz w:val="18"/>
          <w:szCs w:val="18"/>
        </w:rPr>
        <w:t>,</w:t>
      </w:r>
      <w:r w:rsidRPr="00B611A3">
        <w:rPr>
          <w:rFonts w:ascii="Book Antiqua" w:hAnsi="Book Antiqua"/>
          <w:i/>
          <w:sz w:val="18"/>
          <w:szCs w:val="18"/>
          <w:lang w:val="id-ID"/>
        </w:rPr>
        <w:t xml:space="preserve"> Ibid</w:t>
      </w:r>
      <w:r w:rsidRPr="00B611A3">
        <w:rPr>
          <w:rFonts w:ascii="Book Antiqua" w:hAnsi="Book Antiqua"/>
          <w:sz w:val="18"/>
          <w:szCs w:val="18"/>
          <w:lang w:val="id-ID"/>
        </w:rPr>
        <w:t xml:space="preserve">, </w:t>
      </w:r>
      <w:r w:rsidRPr="00B611A3">
        <w:rPr>
          <w:rFonts w:ascii="Book Antiqua" w:hAnsi="Book Antiqua"/>
          <w:sz w:val="18"/>
          <w:szCs w:val="18"/>
        </w:rPr>
        <w:t>hlm. 7</w:t>
      </w:r>
      <w:r w:rsidRPr="00B611A3">
        <w:rPr>
          <w:rFonts w:ascii="Book Antiqua" w:hAnsi="Book Antiqua"/>
          <w:sz w:val="18"/>
          <w:szCs w:val="18"/>
          <w:lang w:val="id-ID"/>
        </w:rPr>
        <w:t>8-78</w:t>
      </w:r>
    </w:p>
  </w:footnote>
  <w:footnote w:id="1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w:t>
      </w:r>
      <w:r w:rsidRPr="00B611A3">
        <w:rPr>
          <w:rFonts w:ascii="Book Antiqua" w:hAnsi="Book Antiqua"/>
          <w:sz w:val="18"/>
          <w:szCs w:val="18"/>
          <w:lang w:val="id-ID"/>
        </w:rPr>
        <w:t>80-81</w:t>
      </w:r>
    </w:p>
  </w:footnote>
  <w:footnote w:id="1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8</w:t>
      </w:r>
      <w:r w:rsidRPr="00B611A3">
        <w:rPr>
          <w:rFonts w:ascii="Book Antiqua" w:hAnsi="Book Antiqua"/>
          <w:sz w:val="18"/>
          <w:szCs w:val="18"/>
          <w:lang w:val="id-ID"/>
        </w:rPr>
        <w:t>6-87</w:t>
      </w:r>
    </w:p>
  </w:footnote>
  <w:footnote w:id="1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 </w:t>
      </w:r>
      <w:r w:rsidRPr="00B611A3">
        <w:rPr>
          <w:rFonts w:ascii="Book Antiqua" w:hAnsi="Book Antiqua"/>
          <w:i/>
          <w:sz w:val="18"/>
          <w:szCs w:val="18"/>
        </w:rPr>
        <w:t>Ibid,</w:t>
      </w:r>
      <w:r w:rsidRPr="00B611A3">
        <w:rPr>
          <w:rFonts w:ascii="Book Antiqua" w:hAnsi="Book Antiqua"/>
          <w:sz w:val="18"/>
          <w:szCs w:val="18"/>
        </w:rPr>
        <w:t xml:space="preserve"> hlm. </w:t>
      </w:r>
      <w:r w:rsidRPr="00B611A3">
        <w:rPr>
          <w:rFonts w:ascii="Book Antiqua" w:hAnsi="Book Antiqua"/>
          <w:sz w:val="18"/>
          <w:szCs w:val="18"/>
          <w:lang w:val="id-ID"/>
        </w:rPr>
        <w:t>91-92</w:t>
      </w:r>
    </w:p>
  </w:footnote>
  <w:footnote w:id="1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Al-Taftazani Abu al-Wafa al-Ghanimi,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165  </w:t>
      </w:r>
    </w:p>
  </w:footnote>
  <w:footnote w:id="190">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M. </w:t>
      </w:r>
      <w:r w:rsidRPr="00B611A3">
        <w:rPr>
          <w:rFonts w:ascii="Book Antiqua" w:hAnsi="Book Antiqua"/>
          <w:color w:val="000000" w:themeColor="text1"/>
          <w:sz w:val="18"/>
          <w:szCs w:val="18"/>
        </w:rPr>
        <w:t>Zainuddin</w:t>
      </w:r>
      <w:r w:rsidRPr="00B611A3">
        <w:rPr>
          <w:rFonts w:ascii="Book Antiqua" w:hAnsi="Book Antiqua"/>
          <w:i/>
          <w:color w:val="000000" w:themeColor="text1"/>
          <w:sz w:val="18"/>
          <w:szCs w:val="18"/>
        </w:rPr>
        <w:t xml:space="preserve">, </w:t>
      </w:r>
      <w:r w:rsidRPr="00B611A3">
        <w:rPr>
          <w:rFonts w:ascii="Book Antiqua" w:hAnsi="Book Antiqua"/>
          <w:i/>
          <w:color w:val="000000" w:themeColor="text1"/>
          <w:sz w:val="18"/>
          <w:szCs w:val="18"/>
          <w:lang w:val="id-ID"/>
        </w:rPr>
        <w:t>Loc. Cit</w:t>
      </w:r>
      <w:r w:rsidRPr="00B611A3">
        <w:rPr>
          <w:rFonts w:ascii="Book Antiqua" w:hAnsi="Book Antiqua"/>
          <w:color w:val="000000" w:themeColor="text1"/>
          <w:sz w:val="18"/>
          <w:szCs w:val="18"/>
          <w:lang w:val="id-ID"/>
        </w:rPr>
        <w:t>, hlm. 33</w:t>
      </w:r>
    </w:p>
  </w:footnote>
  <w:footnote w:id="19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Danusiri,</w:t>
      </w:r>
      <w:r w:rsidRPr="00B611A3">
        <w:rPr>
          <w:rFonts w:ascii="Book Antiqua" w:hAnsi="Book Antiqua"/>
          <w:i/>
          <w:sz w:val="18"/>
          <w:szCs w:val="18"/>
          <w:lang w:val="id-ID"/>
        </w:rPr>
        <w:t>Loc. Cit</w:t>
      </w:r>
      <w:r w:rsidRPr="00B611A3">
        <w:rPr>
          <w:rFonts w:ascii="Book Antiqua" w:hAnsi="Book Antiqua"/>
          <w:sz w:val="18"/>
          <w:szCs w:val="18"/>
          <w:lang w:val="id-ID"/>
        </w:rPr>
        <w:t>, hlm. 68</w:t>
      </w:r>
    </w:p>
  </w:footnote>
  <w:footnote w:id="192">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Mutiara Ihya Ulumuddin</w:t>
      </w:r>
      <w:r w:rsidRPr="00B611A3">
        <w:rPr>
          <w:rFonts w:ascii="Book Antiqua" w:hAnsi="Book Antiqua"/>
          <w:sz w:val="18"/>
          <w:szCs w:val="18"/>
          <w:lang w:val="id-ID"/>
        </w:rPr>
        <w:t>; a</w:t>
      </w:r>
      <w:r w:rsidRPr="00B611A3">
        <w:rPr>
          <w:rFonts w:ascii="Book Antiqua" w:hAnsi="Book Antiqua"/>
          <w:sz w:val="18"/>
          <w:szCs w:val="18"/>
        </w:rPr>
        <w:t>l-Ghazali</w:t>
      </w:r>
      <w:r w:rsidRPr="00B611A3">
        <w:rPr>
          <w:rFonts w:ascii="Book Antiqua" w:hAnsi="Book Antiqua"/>
          <w:sz w:val="18"/>
          <w:szCs w:val="18"/>
          <w:lang w:val="id-ID"/>
        </w:rPr>
        <w:t xml:space="preserve">, </w:t>
      </w:r>
      <w:r w:rsidRPr="00B611A3">
        <w:rPr>
          <w:rFonts w:ascii="Book Antiqua" w:hAnsi="Book Antiqua"/>
          <w:i/>
          <w:sz w:val="18"/>
          <w:szCs w:val="18"/>
        </w:rPr>
        <w:t>Samudera Pemikiran al-Gazali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118-</w:t>
      </w:r>
      <w:r w:rsidRPr="00B611A3">
        <w:rPr>
          <w:rFonts w:ascii="Book Antiqua" w:hAnsi="Book Antiqua"/>
          <w:sz w:val="18"/>
          <w:szCs w:val="18"/>
        </w:rPr>
        <w:t>119</w:t>
      </w:r>
    </w:p>
  </w:footnote>
  <w:footnote w:id="1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Theo </w:t>
      </w:r>
      <w:r w:rsidRPr="00B611A3">
        <w:rPr>
          <w:rFonts w:ascii="Book Antiqua" w:hAnsi="Book Antiqua"/>
          <w:sz w:val="18"/>
          <w:szCs w:val="18"/>
        </w:rPr>
        <w:t xml:space="preserve">Huijbers, </w:t>
      </w:r>
      <w:r w:rsidRPr="00B611A3">
        <w:rPr>
          <w:rFonts w:ascii="Book Antiqua" w:hAnsi="Book Antiqua"/>
          <w:i/>
          <w:sz w:val="18"/>
          <w:szCs w:val="18"/>
          <w:lang w:val="id-ID"/>
        </w:rPr>
        <w:t>Loc. Cit</w:t>
      </w:r>
      <w:r w:rsidRPr="00B611A3">
        <w:rPr>
          <w:rFonts w:ascii="Book Antiqua" w:hAnsi="Book Antiqua"/>
          <w:sz w:val="18"/>
          <w:szCs w:val="18"/>
          <w:lang w:val="id-ID"/>
        </w:rPr>
        <w:t>, hlm. 231-233</w:t>
      </w:r>
    </w:p>
  </w:footnote>
  <w:footnote w:id="1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Dalam Islam, intuisi disebut ilmu </w:t>
      </w:r>
      <w:r w:rsidRPr="00B611A3">
        <w:rPr>
          <w:rFonts w:ascii="Book Antiqua" w:hAnsi="Book Antiqua"/>
          <w:i/>
          <w:sz w:val="18"/>
          <w:szCs w:val="18"/>
          <w:lang w:val="id-ID"/>
        </w:rPr>
        <w:t xml:space="preserve">huduri </w:t>
      </w:r>
      <w:r w:rsidRPr="00B611A3">
        <w:rPr>
          <w:rFonts w:ascii="Book Antiqua" w:hAnsi="Book Antiqua"/>
          <w:sz w:val="18"/>
          <w:szCs w:val="18"/>
          <w:lang w:val="id-ID"/>
        </w:rPr>
        <w:t xml:space="preserve">atau </w:t>
      </w:r>
      <w:r w:rsidRPr="00B611A3">
        <w:rPr>
          <w:rFonts w:ascii="Book Antiqua" w:hAnsi="Book Antiqua"/>
          <w:i/>
          <w:sz w:val="18"/>
          <w:szCs w:val="18"/>
          <w:lang w:val="id-ID"/>
        </w:rPr>
        <w:t>ladunni</w:t>
      </w:r>
      <w:r w:rsidRPr="00B611A3">
        <w:rPr>
          <w:rFonts w:ascii="Book Antiqua" w:hAnsi="Book Antiqua"/>
          <w:sz w:val="18"/>
          <w:szCs w:val="18"/>
          <w:lang w:val="id-ID"/>
        </w:rPr>
        <w:t xml:space="preserve">yang </w:t>
      </w:r>
      <w:r w:rsidRPr="00B611A3">
        <w:rPr>
          <w:rFonts w:ascii="Book Antiqua" w:hAnsi="Book Antiqua"/>
          <w:sz w:val="18"/>
          <w:szCs w:val="18"/>
        </w:rPr>
        <w:t xml:space="preserve">diperoleh melalui proses pencerahan langsung </w:t>
      </w:r>
      <w:r w:rsidRPr="00B611A3">
        <w:rPr>
          <w:rFonts w:ascii="Book Antiqua" w:hAnsi="Book Antiqua"/>
          <w:sz w:val="18"/>
          <w:szCs w:val="18"/>
          <w:lang w:val="id-ID"/>
        </w:rPr>
        <w:t xml:space="preserve">dari </w:t>
      </w:r>
      <w:r w:rsidRPr="00B611A3">
        <w:rPr>
          <w:rFonts w:ascii="Book Antiqua" w:hAnsi="Book Antiqua"/>
          <w:sz w:val="18"/>
          <w:szCs w:val="18"/>
        </w:rPr>
        <w:t>cahaya Tuhan dalam hati</w:t>
      </w:r>
      <w:r w:rsidRPr="00B611A3">
        <w:rPr>
          <w:rFonts w:ascii="Book Antiqua" w:hAnsi="Book Antiqua"/>
          <w:sz w:val="18"/>
          <w:szCs w:val="18"/>
          <w:lang w:val="id-ID"/>
        </w:rPr>
        <w:t>. S</w:t>
      </w:r>
      <w:r w:rsidRPr="00B611A3">
        <w:rPr>
          <w:rFonts w:ascii="Book Antiqua" w:hAnsi="Book Antiqua"/>
          <w:sz w:val="18"/>
          <w:szCs w:val="18"/>
        </w:rPr>
        <w:t>emua pintu ilmu pengetahuan terbuka menerangi kebenaran</w:t>
      </w:r>
      <w:r w:rsidRPr="00B611A3">
        <w:rPr>
          <w:rFonts w:ascii="Book Antiqua" w:hAnsi="Book Antiqua"/>
          <w:sz w:val="18"/>
          <w:szCs w:val="18"/>
          <w:lang w:val="id-ID"/>
        </w:rPr>
        <w:t xml:space="preserve">, sehingga </w:t>
      </w:r>
      <w:r w:rsidRPr="00B611A3">
        <w:rPr>
          <w:rFonts w:ascii="Book Antiqua" w:hAnsi="Book Antiqua"/>
          <w:sz w:val="18"/>
          <w:szCs w:val="18"/>
        </w:rPr>
        <w:t>terbaca dengan jelas dan terserap dalam kesadaran intelek, seakan-akan orang tersebut memperoleh ilmu dari Tuhan secara langsung</w:t>
      </w:r>
      <w:r w:rsidRPr="00B611A3">
        <w:rPr>
          <w:rFonts w:ascii="Book Antiqua" w:hAnsi="Book Antiqua"/>
          <w:sz w:val="18"/>
          <w:szCs w:val="18"/>
          <w:lang w:val="id-ID"/>
        </w:rPr>
        <w:t xml:space="preserve">. Lihat Musa Asy’arie, </w:t>
      </w:r>
      <w:r w:rsidRPr="00B611A3">
        <w:rPr>
          <w:rFonts w:ascii="Book Antiqua" w:hAnsi="Book Antiqua"/>
          <w:i/>
          <w:sz w:val="18"/>
          <w:szCs w:val="18"/>
          <w:lang w:val="id-ID"/>
        </w:rPr>
        <w:t>Loc. Cit</w:t>
      </w:r>
      <w:r w:rsidRPr="00B611A3">
        <w:rPr>
          <w:rFonts w:ascii="Book Antiqua" w:hAnsi="Book Antiqua"/>
          <w:sz w:val="18"/>
          <w:szCs w:val="18"/>
          <w:lang w:val="id-ID"/>
        </w:rPr>
        <w:t>, hlm. 72</w:t>
      </w:r>
    </w:p>
  </w:footnote>
  <w:footnote w:id="195">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Pascal </w:t>
      </w:r>
      <w:r w:rsidRPr="00B611A3">
        <w:rPr>
          <w:rFonts w:ascii="Book Antiqua" w:hAnsi="Book Antiqua" w:cs="Times New Roman"/>
          <w:sz w:val="18"/>
          <w:szCs w:val="18"/>
          <w:lang w:val="id-ID"/>
        </w:rPr>
        <w:t xml:space="preserve">dalam </w:t>
      </w:r>
      <w:r w:rsidRPr="00B611A3">
        <w:rPr>
          <w:rFonts w:ascii="Book Antiqua" w:hAnsi="Book Antiqua" w:cs="Times New Roman"/>
          <w:sz w:val="18"/>
          <w:szCs w:val="18"/>
        </w:rPr>
        <w:t xml:space="preserve">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533</w:t>
      </w:r>
    </w:p>
  </w:footnote>
  <w:footnote w:id="19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Mehdi Hairi Yazdi,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w:t>
      </w:r>
      <w:r w:rsidRPr="00B611A3">
        <w:rPr>
          <w:rFonts w:ascii="Book Antiqua" w:hAnsi="Book Antiqua" w:cs="Times New Roman"/>
          <w:sz w:val="18"/>
          <w:szCs w:val="18"/>
        </w:rPr>
        <w:t>245-268</w:t>
      </w:r>
    </w:p>
  </w:footnote>
  <w:footnote w:id="1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M. Honer dan Thomas C. Hunt, </w:t>
      </w:r>
      <w:r w:rsidRPr="00B611A3">
        <w:rPr>
          <w:rFonts w:ascii="Book Antiqua" w:hAnsi="Book Antiqua"/>
          <w:i/>
          <w:sz w:val="18"/>
          <w:szCs w:val="18"/>
          <w:lang w:val="id-ID"/>
        </w:rPr>
        <w:t>Loc. Cit</w:t>
      </w:r>
      <w:r w:rsidRPr="00B611A3">
        <w:rPr>
          <w:rFonts w:ascii="Book Antiqua" w:hAnsi="Book Antiqua"/>
          <w:sz w:val="18"/>
          <w:szCs w:val="18"/>
          <w:lang w:val="id-ID"/>
        </w:rPr>
        <w:t>, hlm. 72</w:t>
      </w:r>
    </w:p>
  </w:footnote>
  <w:footnote w:id="1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Nietzsche dalam </w:t>
      </w:r>
      <w:r w:rsidRPr="00B611A3">
        <w:rPr>
          <w:rFonts w:ascii="Book Antiqua" w:hAnsi="Book Antiqua" w:cs="Times New Roman"/>
          <w:sz w:val="18"/>
          <w:szCs w:val="18"/>
        </w:rPr>
        <w:t xml:space="preserve">Jujun Suriasumantri, </w:t>
      </w:r>
      <w:r w:rsidRPr="00B611A3">
        <w:rPr>
          <w:rFonts w:ascii="Book Antiqua" w:hAnsi="Book Antiqua" w:cs="Times New Roman"/>
          <w:i/>
          <w:sz w:val="18"/>
          <w:szCs w:val="18"/>
          <w:lang w:val="id-ID"/>
        </w:rPr>
        <w:t>Loc. Cit</w:t>
      </w:r>
      <w:r w:rsidRPr="00B611A3">
        <w:rPr>
          <w:rFonts w:ascii="Book Antiqua" w:hAnsi="Book Antiqua"/>
          <w:sz w:val="18"/>
          <w:szCs w:val="18"/>
          <w:lang w:val="id-ID"/>
        </w:rPr>
        <w:t>, hlm.10</w:t>
      </w:r>
    </w:p>
  </w:footnote>
  <w:footnote w:id="1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Pemikiran Hukum</w:t>
      </w:r>
      <w:r w:rsidRPr="00B611A3">
        <w:rPr>
          <w:rFonts w:ascii="Book Antiqua" w:hAnsi="Book Antiqua"/>
          <w:sz w:val="18"/>
          <w:szCs w:val="18"/>
        </w:rPr>
        <w:t>,</w:t>
      </w:r>
      <w:r w:rsidRPr="00B611A3">
        <w:rPr>
          <w:rFonts w:ascii="Book Antiqua" w:hAnsi="Book Antiqua"/>
          <w:i/>
          <w:sz w:val="18"/>
          <w:szCs w:val="18"/>
          <w:lang w:val="id-ID"/>
        </w:rPr>
        <w:t>Loc. Cit</w:t>
      </w:r>
      <w:r w:rsidRPr="00B611A3">
        <w:rPr>
          <w:rFonts w:ascii="Book Antiqua" w:hAnsi="Book Antiqua"/>
          <w:sz w:val="18"/>
          <w:szCs w:val="18"/>
          <w:lang w:val="id-ID"/>
        </w:rPr>
        <w:t>, hlm. 27</w:t>
      </w:r>
    </w:p>
  </w:footnote>
  <w:footnote w:id="2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hlm. 204-207; Seyyed Hossein Nasr dan Oliver Leaman</w:t>
      </w:r>
      <w:r w:rsidRPr="00B611A3">
        <w:rPr>
          <w:rFonts w:ascii="Book Antiqua" w:hAnsi="Book Antiqua"/>
          <w:i/>
          <w:sz w:val="18"/>
          <w:szCs w:val="18"/>
          <w:lang w:val="id-ID"/>
        </w:rPr>
        <w:t>, 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65</w:t>
      </w:r>
    </w:p>
  </w:footnote>
  <w:footnote w:id="2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Richard G. Singer dan John Q. La Fond,</w:t>
      </w:r>
      <w:r w:rsidRPr="00B611A3">
        <w:rPr>
          <w:rFonts w:ascii="Book Antiqua" w:hAnsi="Book Antiqua"/>
          <w:i/>
          <w:sz w:val="18"/>
          <w:szCs w:val="18"/>
          <w:lang w:val="id-ID"/>
        </w:rPr>
        <w:t>Loc. Cit</w:t>
      </w:r>
      <w:r w:rsidRPr="00B611A3">
        <w:rPr>
          <w:rFonts w:ascii="Book Antiqua" w:hAnsi="Book Antiqua"/>
          <w:sz w:val="18"/>
          <w:szCs w:val="18"/>
          <w:lang w:val="id-ID"/>
        </w:rPr>
        <w:t>, hlm. 41</w:t>
      </w:r>
    </w:p>
  </w:footnote>
  <w:footnote w:id="2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 xml:space="preserve">Pemikiran Hukum,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2</w:t>
      </w:r>
      <w:r w:rsidRPr="00B611A3">
        <w:rPr>
          <w:rFonts w:ascii="Book Antiqua" w:hAnsi="Book Antiqua"/>
          <w:sz w:val="18"/>
          <w:szCs w:val="18"/>
          <w:lang w:val="id-ID"/>
        </w:rPr>
        <w:t>8-29</w:t>
      </w:r>
    </w:p>
  </w:footnote>
  <w:footnote w:id="20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Hendry Bergson </w:t>
      </w:r>
      <w:r w:rsidRPr="00B611A3">
        <w:rPr>
          <w:rFonts w:ascii="Book Antiqua" w:hAnsi="Book Antiqua" w:cs="Times New Roman"/>
          <w:sz w:val="18"/>
          <w:szCs w:val="18"/>
          <w:lang w:val="id-ID"/>
        </w:rPr>
        <w:t xml:space="preserve">dalam Jujun Suriasumantri,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53</w:t>
      </w:r>
    </w:p>
  </w:footnote>
  <w:footnote w:id="2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Al-Taftazani, Abu al-Wafa al-Ghanimi,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170-171</w:t>
      </w:r>
    </w:p>
  </w:footnote>
  <w:footnote w:id="2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2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 dalam Fritjof Capra, </w:t>
      </w:r>
      <w:r w:rsidRPr="00B611A3">
        <w:rPr>
          <w:rFonts w:ascii="Book Antiqua" w:hAnsi="Book Antiqua"/>
          <w:i/>
          <w:sz w:val="18"/>
          <w:szCs w:val="18"/>
          <w:lang w:val="id-ID"/>
        </w:rPr>
        <w:t>Loc. Cit</w:t>
      </w:r>
      <w:r w:rsidRPr="00B611A3">
        <w:rPr>
          <w:rFonts w:ascii="Book Antiqua" w:hAnsi="Book Antiqua"/>
          <w:sz w:val="18"/>
          <w:szCs w:val="18"/>
          <w:lang w:val="id-ID"/>
        </w:rPr>
        <w:t>, hlm. 76-77</w:t>
      </w:r>
    </w:p>
  </w:footnote>
  <w:footnote w:id="2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Fritjof Capra, </w:t>
      </w:r>
      <w:r w:rsidRPr="00B611A3">
        <w:rPr>
          <w:rFonts w:ascii="Book Antiqua" w:hAnsi="Book Antiqua"/>
          <w:i/>
          <w:sz w:val="18"/>
          <w:szCs w:val="18"/>
          <w:lang w:val="id-ID"/>
        </w:rPr>
        <w:t>Loc. Cit</w:t>
      </w:r>
      <w:r w:rsidRPr="00B611A3">
        <w:rPr>
          <w:rFonts w:ascii="Book Antiqua" w:hAnsi="Book Antiqua"/>
          <w:sz w:val="18"/>
          <w:szCs w:val="18"/>
          <w:lang w:val="id-ID"/>
        </w:rPr>
        <w:t>, hlm. 91-92</w:t>
      </w:r>
    </w:p>
  </w:footnote>
  <w:footnote w:id="2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Frederick Schauer and Barbara A. Spellman</w:t>
      </w:r>
      <w:r w:rsidRPr="00B611A3">
        <w:rPr>
          <w:rFonts w:ascii="Book Antiqua" w:hAnsi="Book Antiqua"/>
          <w:sz w:val="18"/>
          <w:szCs w:val="18"/>
          <w:lang w:val="id-ID"/>
        </w:rPr>
        <w:t xml:space="preserve">, “Calibrating Legal Judgments”, </w:t>
      </w:r>
      <w:r w:rsidRPr="00B611A3">
        <w:rPr>
          <w:rFonts w:ascii="Book Antiqua" w:hAnsi="Book Antiqua"/>
          <w:sz w:val="18"/>
          <w:szCs w:val="18"/>
        </w:rPr>
        <w:t>Journal of Legal Analysis</w:t>
      </w:r>
      <w:r w:rsidRPr="00B611A3">
        <w:rPr>
          <w:rFonts w:ascii="Book Antiqua" w:hAnsi="Book Antiqua"/>
          <w:sz w:val="18"/>
          <w:szCs w:val="18"/>
          <w:lang w:val="id-ID"/>
        </w:rPr>
        <w:t>, Volume.9, Number.1, hlm.</w:t>
      </w:r>
      <w:r w:rsidRPr="00B611A3">
        <w:rPr>
          <w:rFonts w:ascii="Book Antiqua" w:hAnsi="Book Antiqua"/>
          <w:sz w:val="18"/>
          <w:szCs w:val="18"/>
        </w:rPr>
        <w:t>147</w:t>
      </w:r>
      <w:r w:rsidRPr="00B611A3">
        <w:rPr>
          <w:rFonts w:ascii="Book Antiqua" w:hAnsi="Book Antiqua"/>
          <w:sz w:val="18"/>
          <w:szCs w:val="18"/>
          <w:lang w:val="id-ID"/>
        </w:rPr>
        <w:t>, 2017</w:t>
      </w:r>
    </w:p>
  </w:footnote>
  <w:footnote w:id="2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Kennet Einar Himma</w:t>
      </w:r>
      <w:r w:rsidRPr="00B611A3">
        <w:rPr>
          <w:rFonts w:ascii="Book Antiqua" w:hAnsi="Book Antiqua"/>
          <w:sz w:val="18"/>
          <w:szCs w:val="18"/>
          <w:lang w:val="id-ID"/>
        </w:rPr>
        <w:t xml:space="preserve">, </w:t>
      </w:r>
      <w:r w:rsidRPr="00B611A3">
        <w:rPr>
          <w:rFonts w:ascii="Book Antiqua" w:hAnsi="Book Antiqua"/>
          <w:i/>
          <w:sz w:val="18"/>
          <w:szCs w:val="18"/>
          <w:lang w:val="id-ID"/>
        </w:rPr>
        <w:t>Op. Cit</w:t>
      </w:r>
      <w:r w:rsidRPr="00B611A3">
        <w:rPr>
          <w:rFonts w:ascii="Book Antiqua" w:hAnsi="Book Antiqua"/>
          <w:sz w:val="18"/>
          <w:szCs w:val="18"/>
          <w:lang w:val="id-ID"/>
        </w:rPr>
        <w:t xml:space="preserve">, hlm. 125; </w:t>
      </w:r>
      <w:r w:rsidRPr="00B611A3">
        <w:rPr>
          <w:rFonts w:ascii="Book Antiqua" w:hAnsi="Book Antiqua"/>
          <w:sz w:val="18"/>
          <w:szCs w:val="18"/>
        </w:rPr>
        <w:t>A. Sukris Sarmadi,</w:t>
      </w:r>
      <w:r w:rsidRPr="00B611A3">
        <w:rPr>
          <w:rFonts w:ascii="Book Antiqua" w:hAnsi="Book Antiqua"/>
          <w:sz w:val="18"/>
          <w:szCs w:val="18"/>
          <w:lang w:val="id-ID"/>
        </w:rPr>
        <w:t xml:space="preserve"> “M</w:t>
      </w:r>
      <w:r w:rsidRPr="00B611A3">
        <w:rPr>
          <w:rFonts w:ascii="Book Antiqua" w:hAnsi="Book Antiqua"/>
          <w:sz w:val="18"/>
          <w:szCs w:val="18"/>
        </w:rPr>
        <w:t>embebaskan Positivisme Hukum Keranah Hukum Progresif (</w:t>
      </w:r>
      <w:r w:rsidRPr="00B611A3">
        <w:rPr>
          <w:rFonts w:ascii="Book Antiqua" w:hAnsi="Book Antiqua"/>
          <w:sz w:val="18"/>
          <w:szCs w:val="18"/>
          <w:lang w:val="id-ID"/>
        </w:rPr>
        <w:t>S</w:t>
      </w:r>
      <w:r w:rsidRPr="00B611A3">
        <w:rPr>
          <w:rFonts w:ascii="Book Antiqua" w:hAnsi="Book Antiqua"/>
          <w:sz w:val="18"/>
          <w:szCs w:val="18"/>
        </w:rPr>
        <w:t xml:space="preserve">tudi </w:t>
      </w:r>
      <w:r w:rsidRPr="00B611A3">
        <w:rPr>
          <w:rFonts w:ascii="Book Antiqua" w:hAnsi="Book Antiqua"/>
          <w:sz w:val="18"/>
          <w:szCs w:val="18"/>
          <w:lang w:val="id-ID"/>
        </w:rPr>
        <w:t>P</w:t>
      </w:r>
      <w:r w:rsidRPr="00B611A3">
        <w:rPr>
          <w:rFonts w:ascii="Book Antiqua" w:hAnsi="Book Antiqua"/>
          <w:sz w:val="18"/>
          <w:szCs w:val="18"/>
        </w:rPr>
        <w:t xml:space="preserve">embacaan </w:t>
      </w:r>
      <w:r w:rsidRPr="00B611A3">
        <w:rPr>
          <w:rFonts w:ascii="Book Antiqua" w:hAnsi="Book Antiqua"/>
          <w:sz w:val="18"/>
          <w:szCs w:val="18"/>
          <w:lang w:val="id-ID"/>
        </w:rPr>
        <w:t>T</w:t>
      </w:r>
      <w:r w:rsidRPr="00B611A3">
        <w:rPr>
          <w:rFonts w:ascii="Book Antiqua" w:hAnsi="Book Antiqua"/>
          <w:sz w:val="18"/>
          <w:szCs w:val="18"/>
        </w:rPr>
        <w:t xml:space="preserve">eks </w:t>
      </w:r>
      <w:r w:rsidRPr="00B611A3">
        <w:rPr>
          <w:rFonts w:ascii="Book Antiqua" w:hAnsi="Book Antiqua"/>
          <w:sz w:val="18"/>
          <w:szCs w:val="18"/>
          <w:lang w:val="id-ID"/>
        </w:rPr>
        <w:t>H</w:t>
      </w:r>
      <w:r w:rsidRPr="00B611A3">
        <w:rPr>
          <w:rFonts w:ascii="Book Antiqua" w:hAnsi="Book Antiqua"/>
          <w:sz w:val="18"/>
          <w:szCs w:val="18"/>
        </w:rPr>
        <w:t xml:space="preserve">ukum </w:t>
      </w:r>
      <w:r w:rsidRPr="00B611A3">
        <w:rPr>
          <w:rFonts w:ascii="Book Antiqua" w:hAnsi="Book Antiqua"/>
          <w:sz w:val="18"/>
          <w:szCs w:val="18"/>
          <w:lang w:val="id-ID"/>
        </w:rPr>
        <w:t>B</w:t>
      </w:r>
      <w:r w:rsidRPr="00B611A3">
        <w:rPr>
          <w:rFonts w:ascii="Book Antiqua" w:hAnsi="Book Antiqua"/>
          <w:sz w:val="18"/>
          <w:szCs w:val="18"/>
        </w:rPr>
        <w:t xml:space="preserve">agi </w:t>
      </w:r>
      <w:r w:rsidRPr="00B611A3">
        <w:rPr>
          <w:rFonts w:ascii="Book Antiqua" w:hAnsi="Book Antiqua"/>
          <w:sz w:val="18"/>
          <w:szCs w:val="18"/>
          <w:lang w:val="id-ID"/>
        </w:rPr>
        <w:t>P</w:t>
      </w:r>
      <w:r w:rsidRPr="00B611A3">
        <w:rPr>
          <w:rFonts w:ascii="Book Antiqua" w:hAnsi="Book Antiqua"/>
          <w:sz w:val="18"/>
          <w:szCs w:val="18"/>
        </w:rPr>
        <w:t xml:space="preserve">enegak </w:t>
      </w:r>
      <w:r w:rsidRPr="00B611A3">
        <w:rPr>
          <w:rFonts w:ascii="Book Antiqua" w:hAnsi="Book Antiqua"/>
          <w:sz w:val="18"/>
          <w:szCs w:val="18"/>
          <w:lang w:val="id-ID"/>
        </w:rPr>
        <w:t>H</w:t>
      </w:r>
      <w:r w:rsidRPr="00B611A3">
        <w:rPr>
          <w:rFonts w:ascii="Book Antiqua" w:hAnsi="Book Antiqua"/>
          <w:sz w:val="18"/>
          <w:szCs w:val="18"/>
        </w:rPr>
        <w:t>ukum)</w:t>
      </w:r>
      <w:r w:rsidRPr="00B611A3">
        <w:rPr>
          <w:rFonts w:ascii="Book Antiqua" w:hAnsi="Book Antiqua"/>
          <w:sz w:val="18"/>
          <w:szCs w:val="18"/>
          <w:lang w:val="id-ID"/>
        </w:rPr>
        <w:t>”</w:t>
      </w:r>
      <w:r w:rsidRPr="00B611A3">
        <w:rPr>
          <w:rFonts w:ascii="Book Antiqua" w:hAnsi="Book Antiqua"/>
          <w:sz w:val="18"/>
          <w:szCs w:val="18"/>
        </w:rPr>
        <w:t xml:space="preserve">, </w:t>
      </w:r>
      <w:r w:rsidRPr="00B611A3">
        <w:rPr>
          <w:rFonts w:ascii="Book Antiqua" w:hAnsi="Book Antiqua"/>
          <w:sz w:val="18"/>
          <w:szCs w:val="18"/>
          <w:lang w:val="id-ID"/>
        </w:rPr>
        <w:t>J</w:t>
      </w:r>
      <w:r w:rsidRPr="00B611A3">
        <w:rPr>
          <w:rFonts w:ascii="Book Antiqua" w:hAnsi="Book Antiqua"/>
          <w:sz w:val="18"/>
          <w:szCs w:val="18"/>
        </w:rPr>
        <w:t>urnal Dinamika Hukum, Vol. 12,No. 2, hlm. 341, 2012</w:t>
      </w:r>
    </w:p>
  </w:footnote>
  <w:footnote w:id="2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Hari Chand, </w:t>
      </w:r>
      <w:r w:rsidRPr="00B611A3">
        <w:rPr>
          <w:rFonts w:ascii="Book Antiqua" w:hAnsi="Book Antiqua"/>
          <w:i/>
          <w:sz w:val="18"/>
          <w:szCs w:val="18"/>
          <w:lang w:val="id-ID"/>
        </w:rPr>
        <w:t xml:space="preserve">Modern Jurisprudence, Loc. Cit, </w:t>
      </w:r>
      <w:r w:rsidRPr="00B611A3">
        <w:rPr>
          <w:rFonts w:ascii="Book Antiqua" w:hAnsi="Book Antiqua"/>
          <w:sz w:val="18"/>
          <w:szCs w:val="18"/>
          <w:lang w:val="id-ID"/>
        </w:rPr>
        <w:t>hlm. 160-161</w:t>
      </w:r>
    </w:p>
  </w:footnote>
  <w:footnote w:id="2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cs="Times New Roman"/>
          <w:sz w:val="18"/>
          <w:szCs w:val="18"/>
          <w:lang w:val="id-ID"/>
        </w:rPr>
        <w:t xml:space="preserve"> Jalaluddin dan Usman Said,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31</w:t>
      </w:r>
    </w:p>
  </w:footnote>
  <w:footnote w:id="21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363</w:t>
      </w:r>
    </w:p>
  </w:footnote>
  <w:footnote w:id="2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Muhsin Mahdi,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58-60; Muslim Ishak,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32</w:t>
      </w:r>
    </w:p>
  </w:footnote>
  <w:footnote w:id="21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Rene Descartes </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2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Al-Jabiri,</w:t>
      </w:r>
      <w:r w:rsidRPr="00B611A3">
        <w:rPr>
          <w:rFonts w:ascii="Book Antiqua" w:hAnsi="Book Antiqua"/>
          <w:i/>
          <w:sz w:val="18"/>
          <w:szCs w:val="18"/>
        </w:rPr>
        <w:t>Takwin</w:t>
      </w:r>
      <w:r w:rsidRPr="00B611A3">
        <w:rPr>
          <w:rFonts w:ascii="Book Antiqua" w:hAnsi="Book Antiqua"/>
          <w:sz w:val="18"/>
          <w:szCs w:val="18"/>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w:t>
      </w:r>
      <w:r w:rsidRPr="00B611A3">
        <w:rPr>
          <w:rFonts w:ascii="Book Antiqua" w:hAnsi="Book Antiqua"/>
          <w:sz w:val="18"/>
          <w:szCs w:val="18"/>
        </w:rPr>
        <w:t>hlm.29-30</w:t>
      </w:r>
      <w:r w:rsidRPr="00B611A3">
        <w:rPr>
          <w:rFonts w:ascii="Book Antiqua" w:hAnsi="Book Antiqua"/>
          <w:sz w:val="18"/>
          <w:szCs w:val="18"/>
          <w:lang w:val="id-ID"/>
        </w:rPr>
        <w:t xml:space="preserve">; </w:t>
      </w:r>
      <w:r w:rsidRPr="00B611A3">
        <w:rPr>
          <w:rFonts w:ascii="Book Antiqua" w:hAnsi="Book Antiqua"/>
          <w:sz w:val="18"/>
          <w:szCs w:val="18"/>
        </w:rPr>
        <w:t>Mulyadi Kartanegara,</w:t>
      </w:r>
      <w:r w:rsidRPr="00B611A3">
        <w:rPr>
          <w:rFonts w:ascii="Book Antiqua" w:hAnsi="Book Antiqua"/>
          <w:i/>
          <w:sz w:val="18"/>
          <w:szCs w:val="18"/>
        </w:rPr>
        <w:t>Menembus Batas Waktu</w:t>
      </w:r>
      <w:r w:rsidRPr="00B611A3">
        <w:rPr>
          <w:rFonts w:ascii="Book Antiqua" w:hAnsi="Book Antiqua"/>
          <w:sz w:val="18"/>
          <w:szCs w:val="18"/>
        </w:rPr>
        <w:t xml:space="preserve">, </w:t>
      </w:r>
      <w:r w:rsidRPr="00B611A3">
        <w:rPr>
          <w:rFonts w:ascii="Book Antiqua" w:hAnsi="Book Antiqua"/>
          <w:i/>
          <w:sz w:val="18"/>
          <w:szCs w:val="18"/>
          <w:lang w:val="id-ID"/>
        </w:rPr>
        <w:t>Loc.Cit</w:t>
      </w:r>
      <w:r w:rsidRPr="00B611A3">
        <w:rPr>
          <w:rFonts w:ascii="Book Antiqua" w:hAnsi="Book Antiqua"/>
          <w:sz w:val="18"/>
          <w:szCs w:val="18"/>
        </w:rPr>
        <w:t xml:space="preserve"> hlm. 63</w:t>
      </w:r>
    </w:p>
  </w:footnote>
  <w:footnote w:id="216">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w:t>
      </w:r>
      <w:r w:rsidRPr="00B611A3">
        <w:rPr>
          <w:rFonts w:ascii="Book Antiqua" w:hAnsi="Book Antiqua"/>
          <w:i/>
          <w:sz w:val="18"/>
          <w:szCs w:val="18"/>
          <w:lang w:val="id-ID"/>
        </w:rPr>
        <w:t>Bunyah al-Aql al-Arabi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421</w:t>
      </w:r>
    </w:p>
  </w:footnote>
  <w:footnote w:id="21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 xml:space="preserve">The Historical School Against Codification: Savigny, Carter and the Defeat of the New York Civil Code, Loc. Cit, </w:t>
      </w:r>
      <w:r w:rsidRPr="00B611A3">
        <w:rPr>
          <w:rFonts w:ascii="Book Antiqua" w:hAnsi="Book Antiqua"/>
          <w:sz w:val="18"/>
          <w:szCs w:val="18"/>
          <w:lang w:val="id-ID"/>
        </w:rPr>
        <w:t>hlm. 95-97, dalam Atip Latipulhayat,</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hlm. 199</w:t>
      </w:r>
    </w:p>
  </w:footnote>
  <w:footnote w:id="21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Cynthia Nicoletti</w:t>
      </w:r>
      <w:r w:rsidRPr="00B611A3">
        <w:rPr>
          <w:rFonts w:ascii="Book Antiqua" w:hAnsi="Book Antiqua"/>
          <w:sz w:val="18"/>
          <w:szCs w:val="18"/>
          <w:lang w:val="id-ID"/>
        </w:rPr>
        <w:t>, “Writing The Social History Of Legal Doctrine”, Buffalo Law Review, Vol. 64, hlm. 121-123, 2016</w:t>
      </w:r>
    </w:p>
  </w:footnote>
  <w:footnote w:id="2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Tamanaha, </w:t>
      </w:r>
      <w:r w:rsidRPr="00B611A3">
        <w:rPr>
          <w:rFonts w:ascii="Book Antiqua" w:hAnsi="Book Antiqua"/>
          <w:i/>
          <w:sz w:val="18"/>
          <w:szCs w:val="18"/>
        </w:rPr>
        <w:t xml:space="preserve">Law as a Means to an End,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234</w:t>
      </w:r>
    </w:p>
  </w:footnote>
  <w:footnote w:id="2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258</w:t>
      </w:r>
    </w:p>
  </w:footnote>
  <w:footnote w:id="2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On Law and Justice, </w:t>
      </w:r>
      <w:r w:rsidRPr="00B611A3">
        <w:rPr>
          <w:rFonts w:ascii="Book Antiqua" w:hAnsi="Book Antiqua"/>
          <w:i/>
          <w:sz w:val="18"/>
          <w:szCs w:val="18"/>
          <w:lang w:val="id-ID"/>
        </w:rPr>
        <w:t>Loc. Cit</w:t>
      </w:r>
      <w:r w:rsidRPr="00B611A3">
        <w:rPr>
          <w:rFonts w:ascii="Book Antiqua" w:hAnsi="Book Antiqua"/>
          <w:sz w:val="18"/>
          <w:szCs w:val="18"/>
          <w:lang w:val="id-ID"/>
        </w:rPr>
        <w:t>, hlm. 38</w:t>
      </w:r>
    </w:p>
  </w:footnote>
  <w:footnote w:id="2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Austin,</w:t>
      </w:r>
      <w:r w:rsidRPr="00B611A3">
        <w:rPr>
          <w:rFonts w:ascii="Book Antiqua" w:hAnsi="Book Antiqua"/>
          <w:i/>
          <w:sz w:val="18"/>
          <w:szCs w:val="18"/>
        </w:rPr>
        <w:t>Th</w:t>
      </w:r>
      <w:r w:rsidRPr="00B611A3">
        <w:rPr>
          <w:rFonts w:ascii="Book Antiqua" w:hAnsi="Book Antiqua"/>
          <w:i/>
          <w:sz w:val="18"/>
          <w:szCs w:val="18"/>
          <w:lang w:val="id-ID"/>
        </w:rPr>
        <w:t xml:space="preserve">e </w:t>
      </w:r>
      <w:r w:rsidRPr="00B611A3">
        <w:rPr>
          <w:rFonts w:ascii="Book Antiqua" w:hAnsi="Book Antiqua"/>
          <w:i/>
          <w:sz w:val="18"/>
          <w:szCs w:val="18"/>
        </w:rPr>
        <w:t>Province of Jurisprudence Determined</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18 </w:t>
      </w:r>
    </w:p>
  </w:footnote>
  <w:footnote w:id="22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 xml:space="preserve">Friedman, </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258</w:t>
      </w:r>
    </w:p>
  </w:footnote>
  <w:footnote w:id="2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John Austin,</w:t>
      </w:r>
      <w:r w:rsidRPr="00B611A3">
        <w:rPr>
          <w:rFonts w:ascii="Book Antiqua" w:hAnsi="Book Antiqua"/>
          <w:i/>
          <w:sz w:val="18"/>
          <w:szCs w:val="18"/>
        </w:rPr>
        <w:t>TheProvince of Jurisprudence Determined</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20-22 </w:t>
      </w:r>
    </w:p>
  </w:footnote>
  <w:footnote w:id="2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w:t>
      </w:r>
      <w:r w:rsidRPr="00B611A3">
        <w:rPr>
          <w:rFonts w:ascii="Book Antiqua" w:hAnsi="Book Antiqua"/>
          <w:sz w:val="18"/>
          <w:szCs w:val="18"/>
          <w:lang w:val="id-ID"/>
        </w:rPr>
        <w:t>.</w:t>
      </w:r>
      <w:r w:rsidRPr="00B611A3">
        <w:rPr>
          <w:rFonts w:ascii="Book Antiqua" w:hAnsi="Book Antiqua"/>
          <w:sz w:val="18"/>
          <w:szCs w:val="18"/>
        </w:rPr>
        <w:t>L</w:t>
      </w:r>
      <w:r w:rsidRPr="00B611A3">
        <w:rPr>
          <w:rFonts w:ascii="Book Antiqua" w:hAnsi="Book Antiqua"/>
          <w:sz w:val="18"/>
          <w:szCs w:val="18"/>
          <w:lang w:val="id-ID"/>
        </w:rPr>
        <w:t>.</w:t>
      </w:r>
      <w:r w:rsidRPr="00B611A3">
        <w:rPr>
          <w:rFonts w:ascii="Book Antiqua" w:hAnsi="Book Antiqua"/>
          <w:sz w:val="18"/>
          <w:szCs w:val="18"/>
        </w:rPr>
        <w:t xml:space="preserve">A. Hart, </w:t>
      </w:r>
      <w:r w:rsidRPr="00B611A3">
        <w:rPr>
          <w:rFonts w:ascii="Book Antiqua" w:hAnsi="Book Antiqua"/>
          <w:i/>
          <w:sz w:val="18"/>
          <w:szCs w:val="18"/>
        </w:rPr>
        <w:t xml:space="preserve">The Concept of Law, </w:t>
      </w:r>
      <w:r w:rsidRPr="00B611A3">
        <w:rPr>
          <w:rFonts w:ascii="Book Antiqua" w:hAnsi="Book Antiqua"/>
          <w:i/>
          <w:sz w:val="18"/>
          <w:szCs w:val="18"/>
          <w:lang w:val="id-ID"/>
        </w:rPr>
        <w:t>Loc. Cit</w:t>
      </w:r>
      <w:r w:rsidRPr="00B611A3">
        <w:rPr>
          <w:rFonts w:ascii="Book Antiqua" w:hAnsi="Book Antiqua"/>
          <w:sz w:val="18"/>
          <w:szCs w:val="18"/>
          <w:lang w:val="id-ID"/>
        </w:rPr>
        <w:t>, hlm. 79-123</w:t>
      </w:r>
    </w:p>
  </w:footnote>
  <w:footnote w:id="2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A General Jurisprudence fo Law and Society, </w:t>
      </w:r>
      <w:r w:rsidRPr="00B611A3">
        <w:rPr>
          <w:rFonts w:ascii="Book Antiqua" w:hAnsi="Book Antiqua"/>
          <w:i/>
          <w:sz w:val="18"/>
          <w:szCs w:val="18"/>
          <w:lang w:val="id-ID"/>
        </w:rPr>
        <w:t>Loc. Cit</w:t>
      </w:r>
      <w:r w:rsidRPr="00B611A3">
        <w:rPr>
          <w:rFonts w:ascii="Book Antiqua" w:hAnsi="Book Antiqua"/>
          <w:sz w:val="18"/>
          <w:szCs w:val="18"/>
          <w:lang w:val="id-ID"/>
        </w:rPr>
        <w:t>, hlm. 1-3</w:t>
      </w:r>
    </w:p>
  </w:footnote>
  <w:footnote w:id="227">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 xml:space="preserve">A. Freeman,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2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w:t>
      </w:r>
      <w:r w:rsidRPr="00B611A3">
        <w:rPr>
          <w:rFonts w:ascii="Book Antiqua" w:hAnsi="Book Antiqua"/>
          <w:i/>
          <w:sz w:val="18"/>
          <w:szCs w:val="18"/>
          <w:lang w:val="id-ID"/>
        </w:rPr>
        <w:t>On Law and Justice, Loc. Cit,</w:t>
      </w:r>
      <w:r w:rsidRPr="00B611A3">
        <w:rPr>
          <w:rFonts w:ascii="Book Antiqua" w:hAnsi="Book Antiqua"/>
          <w:sz w:val="18"/>
          <w:szCs w:val="18"/>
          <w:lang w:val="id-ID"/>
        </w:rPr>
        <w:t xml:space="preserve"> hlm. 38 </w:t>
      </w:r>
    </w:p>
  </w:footnote>
  <w:footnote w:id="2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Hienrich Rommen, </w:t>
      </w:r>
      <w:r w:rsidRPr="00B611A3">
        <w:rPr>
          <w:rFonts w:ascii="Book Antiqua" w:hAnsi="Book Antiqua"/>
          <w:i/>
          <w:sz w:val="18"/>
          <w:szCs w:val="18"/>
          <w:lang w:val="id-ID"/>
        </w:rPr>
        <w:t xml:space="preserve">The Natural Law: A Study in Legal Social History and Philosopy, Loc. Cit, </w:t>
      </w:r>
      <w:r w:rsidRPr="00B611A3">
        <w:rPr>
          <w:rFonts w:ascii="Book Antiqua" w:hAnsi="Book Antiqua"/>
          <w:sz w:val="18"/>
          <w:szCs w:val="18"/>
          <w:lang w:val="id-ID"/>
        </w:rPr>
        <w:t xml:space="preserve">116,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2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Gr. Van der Brught &amp; J.D.C Winkelman,</w:t>
      </w:r>
      <w:r w:rsidRPr="00B611A3">
        <w:rPr>
          <w:rFonts w:ascii="Book Antiqua" w:hAnsi="Book Antiqua"/>
          <w:sz w:val="18"/>
          <w:szCs w:val="18"/>
          <w:lang w:val="id-ID"/>
        </w:rPr>
        <w:t xml:space="preserve"> dalam </w:t>
      </w:r>
      <w:r w:rsidRPr="00B611A3">
        <w:rPr>
          <w:rFonts w:ascii="Book Antiqua" w:hAnsi="Book Antiqua"/>
          <w:sz w:val="18"/>
          <w:szCs w:val="18"/>
        </w:rPr>
        <w:t>B</w:t>
      </w:r>
      <w:r w:rsidRPr="00B611A3">
        <w:rPr>
          <w:rFonts w:ascii="Book Antiqua" w:hAnsi="Book Antiqua"/>
          <w:sz w:val="18"/>
          <w:szCs w:val="18"/>
          <w:lang w:val="id-ID"/>
        </w:rPr>
        <w:t xml:space="preserve">ernard </w:t>
      </w:r>
      <w:r w:rsidRPr="00B611A3">
        <w:rPr>
          <w:rFonts w:ascii="Book Antiqua" w:hAnsi="Book Antiqua"/>
          <w:sz w:val="18"/>
          <w:szCs w:val="18"/>
        </w:rPr>
        <w:t>Arief Sidharta,</w:t>
      </w:r>
      <w:r w:rsidRPr="00B611A3">
        <w:rPr>
          <w:rFonts w:ascii="Book Antiqua" w:hAnsi="Book Antiqua"/>
          <w:sz w:val="18"/>
          <w:szCs w:val="18"/>
          <w:lang w:val="id-ID"/>
        </w:rPr>
        <w:t xml:space="preserve"> “Penyelesaian Kasus”, </w:t>
      </w:r>
      <w:r w:rsidRPr="00B611A3">
        <w:rPr>
          <w:rFonts w:ascii="Book Antiqua" w:hAnsi="Book Antiqua"/>
          <w:sz w:val="18"/>
          <w:szCs w:val="18"/>
        </w:rPr>
        <w:t>Jurnal Pro Justitia</w:t>
      </w:r>
      <w:r w:rsidRPr="00B611A3">
        <w:rPr>
          <w:rFonts w:ascii="Book Antiqua" w:hAnsi="Book Antiqua"/>
          <w:sz w:val="18"/>
          <w:szCs w:val="18"/>
          <w:lang w:val="id-ID"/>
        </w:rPr>
        <w:t xml:space="preserve">, </w:t>
      </w:r>
      <w:r w:rsidRPr="00B611A3">
        <w:rPr>
          <w:rFonts w:ascii="Book Antiqua" w:hAnsi="Book Antiqua"/>
          <w:sz w:val="18"/>
          <w:szCs w:val="18"/>
        </w:rPr>
        <w:t>Tahun XII, No.1,</w:t>
      </w:r>
      <w:r w:rsidRPr="00B611A3">
        <w:rPr>
          <w:rFonts w:ascii="Book Antiqua" w:hAnsi="Book Antiqua"/>
          <w:sz w:val="18"/>
          <w:szCs w:val="18"/>
          <w:lang w:val="id-ID"/>
        </w:rPr>
        <w:t xml:space="preserve"> 35-36, </w:t>
      </w:r>
      <w:r w:rsidRPr="00B611A3">
        <w:rPr>
          <w:rFonts w:ascii="Book Antiqua" w:hAnsi="Book Antiqua"/>
          <w:sz w:val="18"/>
          <w:szCs w:val="18"/>
        </w:rPr>
        <w:t>1994</w:t>
      </w:r>
    </w:p>
  </w:footnote>
  <w:footnote w:id="2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J.A. Pontier,</w:t>
      </w:r>
      <w:r w:rsidRPr="00B611A3">
        <w:rPr>
          <w:rFonts w:ascii="Book Antiqua" w:hAnsi="Book Antiqua"/>
          <w:i/>
          <w:sz w:val="18"/>
          <w:szCs w:val="18"/>
        </w:rPr>
        <w:t>Rechtsvinding</w:t>
      </w:r>
      <w:r w:rsidRPr="00B611A3">
        <w:rPr>
          <w:rFonts w:ascii="Book Antiqua" w:hAnsi="Book Antiqua"/>
          <w:i/>
          <w:sz w:val="18"/>
          <w:szCs w:val="18"/>
          <w:lang w:val="id-ID"/>
        </w:rPr>
        <w:t xml:space="preserve">, </w:t>
      </w:r>
      <w:r w:rsidRPr="00B611A3">
        <w:rPr>
          <w:rFonts w:ascii="Book Antiqua" w:hAnsi="Book Antiqua"/>
          <w:i/>
          <w:sz w:val="18"/>
          <w:szCs w:val="18"/>
        </w:rPr>
        <w:t>Ars Aeuqui Libri, Nijmegen</w:t>
      </w:r>
      <w:r w:rsidRPr="00B611A3">
        <w:rPr>
          <w:rFonts w:ascii="Book Antiqua" w:hAnsi="Book Antiqua"/>
          <w:sz w:val="18"/>
          <w:szCs w:val="18"/>
        </w:rPr>
        <w:t>,terjemah</w:t>
      </w:r>
      <w:r w:rsidRPr="00B611A3">
        <w:rPr>
          <w:rFonts w:ascii="Book Antiqua" w:hAnsi="Book Antiqua"/>
          <w:sz w:val="18"/>
          <w:szCs w:val="18"/>
          <w:lang w:val="id-ID"/>
        </w:rPr>
        <w:t xml:space="preserve">. </w:t>
      </w:r>
      <w:r w:rsidRPr="00B611A3">
        <w:rPr>
          <w:rFonts w:ascii="Book Antiqua" w:hAnsi="Book Antiqua"/>
          <w:sz w:val="18"/>
          <w:szCs w:val="18"/>
        </w:rPr>
        <w:t>B</w:t>
      </w:r>
      <w:r w:rsidRPr="00B611A3">
        <w:rPr>
          <w:rFonts w:ascii="Book Antiqua" w:hAnsi="Book Antiqua"/>
          <w:sz w:val="18"/>
          <w:szCs w:val="18"/>
          <w:lang w:val="id-ID"/>
        </w:rPr>
        <w:t xml:space="preserve">ernard </w:t>
      </w:r>
      <w:r w:rsidRPr="00B611A3">
        <w:rPr>
          <w:rFonts w:ascii="Book Antiqua" w:hAnsi="Book Antiqua"/>
          <w:sz w:val="18"/>
          <w:szCs w:val="18"/>
        </w:rPr>
        <w:t>AriefSidharta</w:t>
      </w:r>
      <w:r w:rsidRPr="00B611A3">
        <w:rPr>
          <w:rFonts w:ascii="Book Antiqua" w:hAnsi="Book Antiqua"/>
          <w:sz w:val="18"/>
          <w:szCs w:val="18"/>
          <w:lang w:val="id-ID"/>
        </w:rPr>
        <w:t xml:space="preserve">, </w:t>
      </w:r>
      <w:r w:rsidRPr="00B611A3">
        <w:rPr>
          <w:rFonts w:ascii="Book Antiqua" w:hAnsi="Book Antiqua"/>
          <w:i/>
          <w:sz w:val="18"/>
          <w:szCs w:val="18"/>
        </w:rPr>
        <w:t>Penemuan Hukum</w:t>
      </w:r>
      <w:r w:rsidRPr="00B611A3">
        <w:rPr>
          <w:rFonts w:ascii="Book Antiqua" w:hAnsi="Book Antiqua"/>
          <w:sz w:val="18"/>
          <w:szCs w:val="18"/>
        </w:rPr>
        <w:t xml:space="preserve">,Fakultas Hukum Universitas Katolik Parahyangan, </w:t>
      </w:r>
      <w:r w:rsidRPr="00B611A3">
        <w:rPr>
          <w:rFonts w:ascii="Book Antiqua" w:hAnsi="Book Antiqua"/>
          <w:sz w:val="18"/>
          <w:szCs w:val="18"/>
          <w:lang w:val="id-ID"/>
        </w:rPr>
        <w:t>Bandung: 2001, hlm. 1-3</w:t>
      </w:r>
    </w:p>
  </w:footnote>
  <w:footnote w:id="2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Anthony J. Casey&amp; Julia Simon-Kerr</w:t>
      </w:r>
      <w:r w:rsidRPr="00B611A3">
        <w:rPr>
          <w:rFonts w:ascii="Book Antiqua" w:hAnsi="Book Antiqua"/>
          <w:sz w:val="18"/>
          <w:szCs w:val="18"/>
          <w:lang w:val="id-ID"/>
        </w:rPr>
        <w:t xml:space="preserve">,“A Simple Theory Of Complex Valuation”, Michigan Law Review, Vol. 113, hlm. 1175-1176, 2015 </w:t>
      </w:r>
    </w:p>
  </w:footnote>
  <w:footnote w:id="2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Rosemary J. Erickson dan Rita J. Simon,</w:t>
      </w:r>
      <w:r w:rsidRPr="00B611A3">
        <w:rPr>
          <w:rFonts w:ascii="Book Antiqua" w:hAnsi="Book Antiqua"/>
          <w:i/>
          <w:sz w:val="18"/>
          <w:szCs w:val="18"/>
        </w:rPr>
        <w:t>The Use of Social Science Data in Supreme CourtDecisions</w:t>
      </w:r>
      <w:r w:rsidRPr="00B611A3">
        <w:rPr>
          <w:rFonts w:ascii="Book Antiqua" w:hAnsi="Book Antiqua"/>
          <w:sz w:val="18"/>
          <w:szCs w:val="18"/>
        </w:rPr>
        <w:t>, University of Illinois Press</w:t>
      </w:r>
      <w:r w:rsidRPr="00B611A3">
        <w:rPr>
          <w:rFonts w:ascii="Book Antiqua" w:hAnsi="Book Antiqua"/>
          <w:sz w:val="18"/>
          <w:szCs w:val="18"/>
          <w:lang w:val="id-ID"/>
        </w:rPr>
        <w:t xml:space="preserve">: 1998, hlm. </w:t>
      </w:r>
      <w:r w:rsidRPr="00B611A3">
        <w:rPr>
          <w:rFonts w:ascii="Book Antiqua" w:hAnsi="Book Antiqua"/>
          <w:sz w:val="18"/>
          <w:szCs w:val="18"/>
        </w:rPr>
        <w:t>5-6</w:t>
      </w:r>
    </w:p>
  </w:footnote>
  <w:footnote w:id="2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Russel A. Jones,</w:t>
      </w:r>
      <w:r w:rsidRPr="00B611A3">
        <w:rPr>
          <w:rFonts w:ascii="Book Antiqua" w:hAnsi="Book Antiqua"/>
          <w:i/>
          <w:sz w:val="18"/>
          <w:szCs w:val="18"/>
        </w:rPr>
        <w:t>Research Methods in the Social and Behavioral Sciences</w:t>
      </w:r>
      <w:r w:rsidRPr="00B611A3">
        <w:rPr>
          <w:rFonts w:ascii="Book Antiqua" w:hAnsi="Book Antiqua"/>
          <w:sz w:val="18"/>
          <w:szCs w:val="18"/>
        </w:rPr>
        <w:t>,Mass</w:t>
      </w:r>
      <w:r w:rsidRPr="00B611A3">
        <w:rPr>
          <w:rFonts w:ascii="Book Antiqua" w:hAnsi="Book Antiqua"/>
          <w:sz w:val="18"/>
          <w:szCs w:val="18"/>
          <w:lang w:val="id-ID"/>
        </w:rPr>
        <w:t xml:space="preserve">, </w:t>
      </w:r>
      <w:r w:rsidRPr="00B611A3">
        <w:rPr>
          <w:rFonts w:ascii="Book Antiqua" w:hAnsi="Book Antiqua"/>
          <w:sz w:val="18"/>
          <w:szCs w:val="18"/>
        </w:rPr>
        <w:t>Sinauer Associations</w:t>
      </w:r>
      <w:r w:rsidRPr="00B611A3">
        <w:rPr>
          <w:rFonts w:ascii="Book Antiqua" w:hAnsi="Book Antiqua"/>
          <w:sz w:val="18"/>
          <w:szCs w:val="18"/>
          <w:lang w:val="id-ID"/>
        </w:rPr>
        <w:t xml:space="preserve">, </w:t>
      </w:r>
      <w:r w:rsidRPr="00B611A3">
        <w:rPr>
          <w:rFonts w:ascii="Book Antiqua" w:hAnsi="Book Antiqua"/>
          <w:sz w:val="18"/>
          <w:szCs w:val="18"/>
        </w:rPr>
        <w:t>Sunderland</w:t>
      </w:r>
      <w:r w:rsidRPr="00B611A3">
        <w:rPr>
          <w:rFonts w:ascii="Book Antiqua" w:hAnsi="Book Antiqua"/>
          <w:sz w:val="18"/>
          <w:szCs w:val="18"/>
          <w:lang w:val="id-ID"/>
        </w:rPr>
        <w:t>: 1985, hlm. 1</w:t>
      </w:r>
    </w:p>
  </w:footnote>
  <w:footnote w:id="235">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Patrick A. Driessen,</w:t>
      </w:r>
      <w:r w:rsidRPr="00B611A3">
        <w:rPr>
          <w:rFonts w:ascii="Book Antiqua" w:hAnsi="Book Antiqua"/>
          <w:i/>
          <w:sz w:val="18"/>
          <w:szCs w:val="18"/>
        </w:rPr>
        <w:t>The Wedding of Social Science and the Courts: Is the Mariage Working ?</w:t>
      </w:r>
      <w:r w:rsidRPr="00B611A3">
        <w:rPr>
          <w:rFonts w:ascii="Book Antiqua" w:hAnsi="Book Antiqua"/>
          <w:sz w:val="18"/>
          <w:szCs w:val="18"/>
        </w:rPr>
        <w:t>Social Science Quarterly</w:t>
      </w:r>
      <w:r w:rsidRPr="00B611A3">
        <w:rPr>
          <w:rFonts w:ascii="Book Antiqua" w:hAnsi="Book Antiqua"/>
          <w:sz w:val="18"/>
          <w:szCs w:val="18"/>
          <w:lang w:val="id-ID"/>
        </w:rPr>
        <w:t xml:space="preserve">: 1983, hlm. </w:t>
      </w:r>
      <w:r w:rsidRPr="00B611A3">
        <w:rPr>
          <w:rFonts w:ascii="Book Antiqua" w:hAnsi="Book Antiqua"/>
          <w:sz w:val="18"/>
          <w:szCs w:val="18"/>
        </w:rPr>
        <w:t>476-493.</w:t>
      </w:r>
    </w:p>
  </w:footnote>
  <w:footnote w:id="2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Lewis Coser,</w:t>
      </w:r>
      <w:r w:rsidRPr="00B611A3">
        <w:rPr>
          <w:rFonts w:ascii="Book Antiqua" w:hAnsi="Book Antiqua"/>
          <w:i/>
          <w:sz w:val="18"/>
          <w:szCs w:val="18"/>
        </w:rPr>
        <w:t>Master of Sociological Thought</w:t>
      </w:r>
      <w:r w:rsidRPr="00B611A3">
        <w:rPr>
          <w:rFonts w:ascii="Book Antiqua" w:hAnsi="Book Antiqua"/>
          <w:sz w:val="18"/>
          <w:szCs w:val="18"/>
        </w:rPr>
        <w:t>,HarcourtBrace Jovanovich</w:t>
      </w:r>
      <w:r w:rsidRPr="00B611A3">
        <w:rPr>
          <w:rFonts w:ascii="Book Antiqua" w:hAnsi="Book Antiqua"/>
          <w:sz w:val="18"/>
          <w:szCs w:val="18"/>
          <w:lang w:val="id-ID"/>
        </w:rPr>
        <w:t xml:space="preserve">, </w:t>
      </w:r>
      <w:r w:rsidRPr="00B611A3">
        <w:rPr>
          <w:rFonts w:ascii="Book Antiqua" w:hAnsi="Book Antiqua"/>
          <w:sz w:val="18"/>
          <w:szCs w:val="18"/>
        </w:rPr>
        <w:t>New York</w:t>
      </w:r>
      <w:r w:rsidRPr="00B611A3">
        <w:rPr>
          <w:rFonts w:ascii="Book Antiqua" w:hAnsi="Book Antiqua"/>
          <w:sz w:val="18"/>
          <w:szCs w:val="18"/>
          <w:lang w:val="id-ID"/>
        </w:rPr>
        <w:t>: 1997, hlm. 1-5</w:t>
      </w:r>
    </w:p>
  </w:footnote>
  <w:footnote w:id="2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Constance R. Lindman,</w:t>
      </w:r>
      <w:r w:rsidRPr="00B611A3">
        <w:rPr>
          <w:rFonts w:ascii="Book Antiqua" w:hAnsi="Book Antiqua"/>
          <w:sz w:val="18"/>
          <w:szCs w:val="18"/>
          <w:lang w:val="id-ID"/>
        </w:rPr>
        <w:t xml:space="preserve"> “</w:t>
      </w:r>
      <w:r w:rsidRPr="00B611A3">
        <w:rPr>
          <w:rFonts w:ascii="Book Antiqua" w:hAnsi="Book Antiqua"/>
          <w:sz w:val="18"/>
          <w:szCs w:val="18"/>
        </w:rPr>
        <w:t>Source of Judicial Distrust of Social Science Evidence: A Comparison ofSocial Science and Jurisprudence</w:t>
      </w:r>
      <w:r w:rsidRPr="00B611A3">
        <w:rPr>
          <w:rFonts w:ascii="Book Antiqua" w:hAnsi="Book Antiqua"/>
          <w:sz w:val="18"/>
          <w:szCs w:val="18"/>
          <w:lang w:val="id-ID"/>
        </w:rPr>
        <w:t>”</w:t>
      </w:r>
      <w:r w:rsidRPr="00B611A3">
        <w:rPr>
          <w:rFonts w:ascii="Book Antiqua" w:hAnsi="Book Antiqua"/>
          <w:sz w:val="18"/>
          <w:szCs w:val="18"/>
        </w:rPr>
        <w:t>, Indiana Law Journal</w:t>
      </w:r>
      <w:r w:rsidRPr="00B611A3">
        <w:rPr>
          <w:rFonts w:ascii="Book Antiqua" w:hAnsi="Book Antiqua"/>
          <w:sz w:val="18"/>
          <w:szCs w:val="18"/>
          <w:lang w:val="id-ID"/>
        </w:rPr>
        <w:t xml:space="preserve">. </w:t>
      </w:r>
      <w:r w:rsidRPr="00B611A3">
        <w:rPr>
          <w:rFonts w:ascii="Book Antiqua" w:hAnsi="Book Antiqua"/>
          <w:sz w:val="18"/>
          <w:szCs w:val="18"/>
        </w:rPr>
        <w:t>64,</w:t>
      </w:r>
      <w:r w:rsidRPr="00B611A3">
        <w:rPr>
          <w:rFonts w:ascii="Book Antiqua" w:hAnsi="Book Antiqua"/>
          <w:sz w:val="18"/>
          <w:szCs w:val="18"/>
          <w:lang w:val="id-ID"/>
        </w:rPr>
        <w:t xml:space="preserve"> hlm. </w:t>
      </w:r>
      <w:r w:rsidRPr="00B611A3">
        <w:rPr>
          <w:rFonts w:ascii="Book Antiqua" w:hAnsi="Book Antiqua"/>
          <w:sz w:val="18"/>
          <w:szCs w:val="18"/>
        </w:rPr>
        <w:t>755-768</w:t>
      </w:r>
      <w:r w:rsidRPr="00B611A3">
        <w:rPr>
          <w:rFonts w:ascii="Book Antiqua" w:hAnsi="Book Antiqua"/>
          <w:sz w:val="18"/>
          <w:szCs w:val="18"/>
          <w:lang w:val="id-ID"/>
        </w:rPr>
        <w:t>, 1989</w:t>
      </w:r>
    </w:p>
  </w:footnote>
  <w:footnote w:id="2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Timothy M. Hagle</w:t>
      </w:r>
      <w:r w:rsidRPr="00B611A3">
        <w:rPr>
          <w:rFonts w:ascii="Book Antiqua" w:hAnsi="Book Antiqua"/>
          <w:sz w:val="18"/>
          <w:szCs w:val="18"/>
          <w:lang w:val="id-ID"/>
        </w:rPr>
        <w:t>, “Two Worlds, Neither Perfect: A Comment on the Tension Between Legal and Empirical Studies”, Buffalo Law Review, Vol. 63, hlm. 379-380, 2015; Todd E. Pettys, “Free Expression, In-Group Bias, and the Court’s Conservatives: A Critique of the Epstein-Parker-Segal Study”, Buffalo Law Review, Vol. 63, hlm. 1, 2015</w:t>
      </w:r>
    </w:p>
  </w:footnote>
  <w:footnote w:id="2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H.L.A. Hart,</w:t>
      </w:r>
      <w:r w:rsidRPr="00B611A3">
        <w:rPr>
          <w:rFonts w:ascii="Book Antiqua" w:hAnsi="Book Antiqua"/>
          <w:i/>
          <w:sz w:val="18"/>
          <w:szCs w:val="18"/>
        </w:rPr>
        <w:t>The Concept of Law</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302</w:t>
      </w:r>
    </w:p>
  </w:footnote>
  <w:footnote w:id="2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1</w:t>
      </w:r>
      <w:r w:rsidRPr="00B611A3">
        <w:rPr>
          <w:rFonts w:ascii="Book Antiqua" w:hAnsi="Book Antiqua"/>
          <w:sz w:val="18"/>
          <w:szCs w:val="18"/>
          <w:lang w:val="id-ID"/>
        </w:rPr>
        <w:t>-2</w:t>
      </w:r>
    </w:p>
  </w:footnote>
  <w:footnote w:id="2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Rosemary J. Erickson dan Rita J. Simon, </w:t>
      </w:r>
      <w:r w:rsidRPr="00B611A3">
        <w:rPr>
          <w:rFonts w:ascii="Book Antiqua" w:hAnsi="Book Antiqua"/>
          <w:i/>
          <w:sz w:val="18"/>
          <w:szCs w:val="18"/>
          <w:lang w:val="id-ID"/>
        </w:rPr>
        <w:t>Loc. Cit</w:t>
      </w:r>
      <w:r w:rsidRPr="00B611A3">
        <w:rPr>
          <w:rFonts w:ascii="Book Antiqua" w:hAnsi="Book Antiqua"/>
          <w:sz w:val="18"/>
          <w:szCs w:val="18"/>
          <w:lang w:val="id-ID"/>
        </w:rPr>
        <w:t>, hlm. 5</w:t>
      </w:r>
    </w:p>
  </w:footnote>
  <w:footnote w:id="2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w:t>
      </w:r>
      <w:r w:rsidRPr="00B611A3">
        <w:rPr>
          <w:rFonts w:ascii="Book Antiqua" w:hAnsi="Book Antiqua"/>
          <w:sz w:val="18"/>
          <w:szCs w:val="18"/>
        </w:rPr>
        <w:t>cott hershovitz</w:t>
      </w:r>
      <w:r w:rsidRPr="00B611A3">
        <w:rPr>
          <w:rFonts w:ascii="Book Antiqua" w:hAnsi="Book Antiqua"/>
          <w:sz w:val="18"/>
          <w:szCs w:val="18"/>
          <w:lang w:val="id-ID"/>
        </w:rPr>
        <w:t>, “The End of Jurisprudence”,The Yale Law Journal. 124, hlm. 1160&amp; 1195, 2015</w:t>
      </w:r>
    </w:p>
  </w:footnote>
  <w:footnote w:id="2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M.D.A. </w:t>
      </w:r>
      <w:r w:rsidRPr="00B611A3">
        <w:rPr>
          <w:rFonts w:ascii="Book Antiqua" w:hAnsi="Book Antiqua"/>
          <w:sz w:val="18"/>
          <w:szCs w:val="18"/>
        </w:rPr>
        <w:t xml:space="preserve">Freeman,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348 -394</w:t>
      </w:r>
    </w:p>
  </w:footnote>
  <w:footnote w:id="2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Benjamin Nathan Cardozo </w:t>
      </w:r>
      <w:r w:rsidRPr="00B611A3">
        <w:rPr>
          <w:rFonts w:ascii="Book Antiqua" w:hAnsi="Book Antiqua"/>
          <w:sz w:val="18"/>
          <w:szCs w:val="18"/>
          <w:lang w:val="id-ID"/>
        </w:rPr>
        <w:t xml:space="preserve">dalam </w:t>
      </w:r>
      <w:r w:rsidRPr="00B611A3">
        <w:rPr>
          <w:rFonts w:ascii="Book Antiqua" w:hAnsi="Book Antiqua"/>
          <w:sz w:val="18"/>
          <w:szCs w:val="18"/>
        </w:rPr>
        <w:t>Soetandyo Wignjosoebroto</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21-23</w:t>
      </w:r>
    </w:p>
  </w:footnote>
  <w:footnote w:id="2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Hans Kelsen, </w:t>
      </w:r>
      <w:r w:rsidRPr="00B611A3">
        <w:rPr>
          <w:rFonts w:ascii="Book Antiqua" w:hAnsi="Book Antiqua"/>
          <w:i/>
          <w:sz w:val="18"/>
          <w:szCs w:val="18"/>
        </w:rPr>
        <w:t>The Pure Theory of Law, Op.Cit</w:t>
      </w:r>
      <w:r w:rsidRPr="00B611A3">
        <w:rPr>
          <w:rFonts w:ascii="Book Antiqua" w:hAnsi="Book Antiqua"/>
          <w:sz w:val="18"/>
          <w:szCs w:val="18"/>
        </w:rPr>
        <w:t>, hl</w:t>
      </w:r>
      <w:r w:rsidRPr="00B611A3">
        <w:rPr>
          <w:rFonts w:ascii="Book Antiqua" w:hAnsi="Book Antiqua"/>
          <w:sz w:val="18"/>
          <w:szCs w:val="18"/>
          <w:lang w:val="id-ID"/>
        </w:rPr>
        <w:t>m</w:t>
      </w:r>
      <w:r w:rsidRPr="00B611A3">
        <w:rPr>
          <w:rFonts w:ascii="Book Antiqua" w:hAnsi="Book Antiqua"/>
          <w:sz w:val="18"/>
          <w:szCs w:val="18"/>
        </w:rPr>
        <w:t>. 9.</w:t>
      </w:r>
    </w:p>
  </w:footnote>
  <w:footnote w:id="2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Andrew Hamilton, </w:t>
      </w:r>
      <w:r w:rsidRPr="00B611A3">
        <w:rPr>
          <w:rFonts w:ascii="Book Antiqua" w:hAnsi="Book Antiqua"/>
          <w:i/>
          <w:sz w:val="18"/>
          <w:szCs w:val="18"/>
          <w:lang w:val="id-ID"/>
        </w:rPr>
        <w:t>Savigny: The Volksgeist &amp; Law</w:t>
      </w:r>
      <w:r w:rsidRPr="00B611A3">
        <w:rPr>
          <w:rFonts w:ascii="Book Antiqua" w:hAnsi="Book Antiqua"/>
          <w:sz w:val="18"/>
          <w:szCs w:val="18"/>
          <w:lang w:val="id-ID"/>
        </w:rPr>
        <w:t xml:space="preserve">,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204</w:t>
      </w:r>
    </w:p>
  </w:footnote>
  <w:footnote w:id="2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The Province and Function of Law, Loc. Cit,</w:t>
      </w:r>
      <w:r w:rsidRPr="00B611A3">
        <w:rPr>
          <w:rFonts w:ascii="Book Antiqua" w:hAnsi="Book Antiqua"/>
          <w:sz w:val="18"/>
          <w:szCs w:val="18"/>
          <w:lang w:val="id-ID"/>
        </w:rPr>
        <w:t>hlm. 421</w:t>
      </w:r>
    </w:p>
  </w:footnote>
  <w:footnote w:id="2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206</w:t>
      </w:r>
    </w:p>
  </w:footnote>
  <w:footnote w:id="2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393</w:t>
      </w:r>
    </w:p>
  </w:footnote>
  <w:footnote w:id="2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Ludwing von Wiittgenstein</w:t>
      </w:r>
      <w:r w:rsidRPr="00B611A3">
        <w:rPr>
          <w:rFonts w:ascii="Book Antiqua" w:hAnsi="Book Antiqua"/>
          <w:sz w:val="18"/>
          <w:szCs w:val="18"/>
          <w:lang w:val="id-ID"/>
        </w:rPr>
        <w:t xml:space="preserve">, dalam </w:t>
      </w:r>
      <w:r w:rsidRPr="00B611A3">
        <w:rPr>
          <w:rFonts w:ascii="Book Antiqua" w:hAnsi="Book Antiqua"/>
          <w:sz w:val="18"/>
          <w:szCs w:val="18"/>
        </w:rPr>
        <w:t xml:space="preserve">Jujun Suriasumantri,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48-49</w:t>
      </w:r>
    </w:p>
  </w:footnote>
  <w:footnote w:id="2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p>
  </w:footnote>
  <w:footnote w:id="25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Veursen,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82 </w:t>
      </w:r>
    </w:p>
  </w:footnote>
  <w:footnote w:id="25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Pure Theory Of Law, Loc. Cit</w:t>
      </w:r>
      <w:r w:rsidRPr="00B611A3">
        <w:rPr>
          <w:rFonts w:ascii="Book Antiqua" w:hAnsi="Book Antiqua"/>
          <w:sz w:val="18"/>
          <w:szCs w:val="18"/>
          <w:lang w:val="id-ID"/>
        </w:rPr>
        <w:t>, hlm. 9</w:t>
      </w:r>
    </w:p>
  </w:footnote>
  <w:footnote w:id="25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rPr>
        <w:t>Scientific Method</w:t>
      </w:r>
      <w:r w:rsidRPr="00B611A3">
        <w:rPr>
          <w:rFonts w:ascii="Book Antiqua" w:hAnsi="Book Antiqua"/>
          <w:sz w:val="18"/>
          <w:szCs w:val="18"/>
        </w:rPr>
        <w:t xml:space="preserve">, </w:t>
      </w:r>
      <w:r w:rsidRPr="00B611A3">
        <w:rPr>
          <w:rFonts w:ascii="Book Antiqua" w:hAnsi="Book Antiqua"/>
          <w:i/>
          <w:sz w:val="18"/>
          <w:szCs w:val="18"/>
          <w:lang w:val="id-ID"/>
        </w:rPr>
        <w:t xml:space="preserve">Loc. Cit, </w:t>
      </w:r>
      <w:r w:rsidRPr="00B611A3">
        <w:rPr>
          <w:rFonts w:ascii="Book Antiqua" w:hAnsi="Book Antiqua"/>
          <w:sz w:val="18"/>
          <w:szCs w:val="18"/>
          <w:lang w:val="id-ID"/>
        </w:rPr>
        <w:t>hlm. 34-35</w:t>
      </w:r>
    </w:p>
  </w:footnote>
  <w:footnote w:id="25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hlm. 430-431</w:t>
      </w:r>
    </w:p>
  </w:footnote>
  <w:footnote w:id="25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363; </w:t>
      </w:r>
      <w:r w:rsidRPr="00B611A3">
        <w:rPr>
          <w:rFonts w:ascii="Book Antiqua" w:hAnsi="Book Antiqua"/>
          <w:sz w:val="18"/>
          <w:szCs w:val="18"/>
          <w:lang w:val="id-ID"/>
        </w:rPr>
        <w:t xml:space="preserve">Hal ini seperti juga dikemukakan Ikhwan al-Shafa, bahwa sesungguhnya seluruh pengetahuan diusahakan dengan melalui dasar indera, </w:t>
      </w:r>
      <w:r w:rsidRPr="00B611A3">
        <w:rPr>
          <w:rFonts w:ascii="Book Antiqua" w:hAnsi="Book Antiqua"/>
          <w:sz w:val="18"/>
          <w:szCs w:val="18"/>
        </w:rPr>
        <w:t>Jalaluddin dan Usman Said,</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25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l-TaftazaniAbu al-Wafaal-Ghanimi</w:t>
      </w:r>
      <w:r w:rsidRPr="00B611A3">
        <w:rPr>
          <w:rFonts w:ascii="Book Antiqua" w:hAnsi="Book Antiqua"/>
          <w:i/>
          <w:sz w:val="18"/>
          <w:szCs w:val="18"/>
          <w:lang w:val="id-ID"/>
        </w:rPr>
        <w:t>, Loc. Cit</w:t>
      </w:r>
      <w:r w:rsidRPr="00B611A3">
        <w:rPr>
          <w:rFonts w:ascii="Book Antiqua" w:hAnsi="Book Antiqua"/>
          <w:sz w:val="18"/>
          <w:szCs w:val="18"/>
          <w:lang w:val="id-ID"/>
        </w:rPr>
        <w:t>, hlm. 165</w:t>
      </w:r>
    </w:p>
  </w:footnote>
  <w:footnote w:id="2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Luis Kutner, </w:t>
      </w:r>
      <w:r w:rsidRPr="00B611A3">
        <w:rPr>
          <w:rFonts w:ascii="Book Antiqua" w:hAnsi="Book Antiqua"/>
          <w:i/>
          <w:sz w:val="18"/>
          <w:szCs w:val="18"/>
          <w:lang w:val="id-ID"/>
        </w:rPr>
        <w:t>Loc. Cit</w:t>
      </w:r>
      <w:r w:rsidRPr="00B611A3">
        <w:rPr>
          <w:rFonts w:ascii="Book Antiqua" w:hAnsi="Book Antiqua"/>
          <w:sz w:val="18"/>
          <w:szCs w:val="18"/>
          <w:lang w:val="id-ID"/>
        </w:rPr>
        <w:t>, hlm. 283</w:t>
      </w:r>
    </w:p>
  </w:footnote>
  <w:footnote w:id="25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Julius Stone</w:t>
      </w:r>
      <w:r w:rsidRPr="00B611A3">
        <w:rPr>
          <w:rFonts w:ascii="Book Antiqua" w:hAnsi="Book Antiqua"/>
          <w:sz w:val="18"/>
          <w:szCs w:val="18"/>
          <w:lang w:val="id-ID"/>
        </w:rPr>
        <w:t xml:space="preserve">, </w:t>
      </w:r>
      <w:r w:rsidRPr="00B611A3">
        <w:rPr>
          <w:rFonts w:ascii="Book Antiqua" w:hAnsi="Book Antiqua"/>
          <w:i/>
          <w:sz w:val="18"/>
          <w:szCs w:val="18"/>
          <w:lang w:val="id-ID"/>
        </w:rPr>
        <w:t>Social Dimensions of Law and Justice</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88-89 </w:t>
      </w:r>
    </w:p>
  </w:footnote>
  <w:footnote w:id="2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Mehdi Ha’iri Yazdi</w:t>
      </w:r>
      <w:r w:rsidRPr="00B611A3">
        <w:rPr>
          <w:rFonts w:ascii="Book Antiqua" w:hAnsi="Book Antiqua"/>
          <w:i/>
          <w:sz w:val="18"/>
          <w:szCs w:val="18"/>
          <w:lang w:val="id-ID"/>
        </w:rPr>
        <w:t>, Loc. Cit</w:t>
      </w:r>
      <w:r w:rsidRPr="00B611A3">
        <w:rPr>
          <w:rFonts w:ascii="Book Antiqua" w:hAnsi="Book Antiqua"/>
          <w:sz w:val="18"/>
          <w:szCs w:val="18"/>
          <w:lang w:val="id-ID"/>
        </w:rPr>
        <w:t>, hlm. 65</w:t>
      </w:r>
    </w:p>
  </w:footnote>
  <w:footnote w:id="2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J.W Harris </w:t>
      </w:r>
      <w:r w:rsidRPr="00B611A3">
        <w:rPr>
          <w:rFonts w:ascii="Book Antiqua" w:hAnsi="Book Antiqua"/>
          <w:sz w:val="18"/>
          <w:szCs w:val="18"/>
          <w:lang w:val="id-ID"/>
        </w:rPr>
        <w:t xml:space="preserve"> dalam </w:t>
      </w:r>
      <w:r w:rsidRPr="00B611A3">
        <w:rPr>
          <w:rFonts w:ascii="Book Antiqua" w:hAnsi="Book Antiqua"/>
          <w:sz w:val="18"/>
          <w:szCs w:val="18"/>
        </w:rPr>
        <w:t>Khudzaifah Dimyati,</w:t>
      </w:r>
      <w:r w:rsidRPr="00B611A3">
        <w:rPr>
          <w:rFonts w:ascii="Book Antiqua" w:hAnsi="Book Antiqua"/>
          <w:i/>
          <w:sz w:val="18"/>
          <w:szCs w:val="18"/>
          <w:lang w:val="id-ID"/>
        </w:rPr>
        <w:t>Pemikiran Hukum, Lo. Cit</w:t>
      </w:r>
      <w:r w:rsidRPr="00B611A3">
        <w:rPr>
          <w:rFonts w:ascii="Book Antiqua" w:hAnsi="Book Antiqua"/>
          <w:sz w:val="18"/>
          <w:szCs w:val="18"/>
          <w:lang w:val="id-ID"/>
        </w:rPr>
        <w:t>, hlm. 27</w:t>
      </w:r>
    </w:p>
  </w:footnote>
  <w:footnote w:id="26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Loc. Cit</w:t>
      </w:r>
      <w:r w:rsidRPr="00B611A3">
        <w:rPr>
          <w:rFonts w:ascii="Book Antiqua" w:hAnsi="Book Antiqua"/>
          <w:sz w:val="18"/>
          <w:szCs w:val="18"/>
          <w:lang w:val="id-ID"/>
        </w:rPr>
        <w:t>, hlm. 95-97</w:t>
      </w:r>
    </w:p>
  </w:footnote>
  <w:footnote w:id="26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Asd</w:t>
      </w:r>
      <w:r w:rsidRPr="00B611A3">
        <w:rPr>
          <w:rFonts w:ascii="Book Antiqua" w:hAnsi="Book Antiqua"/>
          <w:sz w:val="18"/>
          <w:szCs w:val="18"/>
          <w:lang w:val="id-ID"/>
        </w:rPr>
        <w:t xml:space="preserve">i </w:t>
      </w:r>
      <w:r w:rsidRPr="00B611A3">
        <w:rPr>
          <w:rFonts w:ascii="Book Antiqua" w:hAnsi="Book Antiqua"/>
          <w:sz w:val="18"/>
          <w:szCs w:val="18"/>
        </w:rPr>
        <w:t xml:space="preserve">Endang Daruni, </w:t>
      </w:r>
      <w:r w:rsidRPr="00B611A3">
        <w:rPr>
          <w:rFonts w:ascii="Book Antiqua" w:hAnsi="Book Antiqua"/>
          <w:i/>
          <w:sz w:val="18"/>
          <w:szCs w:val="18"/>
          <w:lang w:val="id-ID"/>
        </w:rPr>
        <w:t xml:space="preserve">Loc. Cit, </w:t>
      </w:r>
      <w:r w:rsidRPr="00B611A3">
        <w:rPr>
          <w:rFonts w:ascii="Book Antiqua" w:hAnsi="Book Antiqua"/>
          <w:sz w:val="18"/>
          <w:szCs w:val="18"/>
          <w:lang w:val="id-ID"/>
        </w:rPr>
        <w:t>hlm. 80-81</w:t>
      </w:r>
    </w:p>
  </w:footnote>
  <w:footnote w:id="26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Menurut Suhrawardi</w:t>
      </w:r>
      <w:r w:rsidRPr="00B611A3">
        <w:rPr>
          <w:rFonts w:ascii="Book Antiqua" w:hAnsi="Book Antiqua" w:cs="Times New Roman"/>
          <w:sz w:val="18"/>
          <w:szCs w:val="18"/>
          <w:lang w:val="id-ID"/>
        </w:rPr>
        <w:t xml:space="preserve">, untuk memperoleh pengetahuan intuisi (irfani) seseorang harus melakukan beberpa tahap. </w:t>
      </w:r>
      <w:r w:rsidRPr="00B611A3">
        <w:rPr>
          <w:rFonts w:ascii="Book Antiqua" w:hAnsi="Book Antiqua" w:cs="Times New Roman"/>
          <w:i/>
          <w:sz w:val="18"/>
          <w:szCs w:val="18"/>
          <w:lang w:val="id-ID"/>
        </w:rPr>
        <w:t>Pertama</w:t>
      </w:r>
      <w:r w:rsidRPr="00B611A3">
        <w:rPr>
          <w:rFonts w:ascii="Book Antiqua" w:hAnsi="Book Antiqua" w:cs="Times New Roman"/>
          <w:sz w:val="18"/>
          <w:szCs w:val="18"/>
          <w:lang w:val="id-ID"/>
        </w:rPr>
        <w:t>, tahap persiapan (</w:t>
      </w:r>
      <w:r w:rsidRPr="00B611A3">
        <w:rPr>
          <w:rFonts w:ascii="Book Antiqua" w:hAnsi="Book Antiqua" w:cs="Times New Roman"/>
          <w:i/>
          <w:sz w:val="18"/>
          <w:szCs w:val="18"/>
          <w:lang w:val="id-ID"/>
        </w:rPr>
        <w:t>taubat, wara’, zuhud, fakir, sabar, tawakkal, ridha</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Kedua</w:t>
      </w:r>
      <w:r w:rsidRPr="00B611A3">
        <w:rPr>
          <w:rFonts w:ascii="Book Antiqua" w:hAnsi="Book Antiqua" w:cs="Times New Roman"/>
          <w:sz w:val="18"/>
          <w:szCs w:val="18"/>
          <w:lang w:val="id-ID"/>
        </w:rPr>
        <w:t>, tahap penerimaan untuk mendapatkan limpahan pengetahuan langsung dari Tuhan secara iluminatif.</w:t>
      </w:r>
      <w:r w:rsidRPr="00B611A3">
        <w:rPr>
          <w:rFonts w:ascii="Book Antiqua" w:hAnsi="Book Antiqua" w:cs="Times New Roman"/>
          <w:i/>
          <w:sz w:val="18"/>
          <w:szCs w:val="18"/>
          <w:lang w:val="id-ID"/>
        </w:rPr>
        <w:t>Ketiga</w:t>
      </w:r>
      <w:r w:rsidRPr="00B611A3">
        <w:rPr>
          <w:rFonts w:ascii="Book Antiqua" w:hAnsi="Book Antiqua" w:cs="Times New Roman"/>
          <w:sz w:val="18"/>
          <w:szCs w:val="18"/>
          <w:lang w:val="id-ID"/>
        </w:rPr>
        <w:t xml:space="preserve">, tahap pengungkapan melalui ucapan atau tulisan.Suhrawardi dalam khudori Soleh,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204-207; Seyyed Hossein Nasr,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75; Mehdi Hairi Yazdi,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245-268</w:t>
      </w:r>
    </w:p>
  </w:footnote>
  <w:footnote w:id="2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Stanley M. Honer dan Thomas C. Hunt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53; Menurut al-Ghazali, intuisi hati nurani mampu menghasilkan kebenaran yang hakiki. 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165 </w:t>
      </w:r>
    </w:p>
  </w:footnote>
  <w:footnote w:id="2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George F. Kneller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53</w:t>
      </w:r>
    </w:p>
  </w:footnote>
  <w:footnote w:id="2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268">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cs="Times New Roman"/>
          <w:sz w:val="18"/>
          <w:szCs w:val="18"/>
          <w:lang w:val="id-ID"/>
        </w:rPr>
        <w:t xml:space="preserve"> Suhrawardi dalam khudori Soleh,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204-207; Seyyed Hossein Nasr,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75; Mehdi Hairi Yazdi,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245-268</w:t>
      </w:r>
    </w:p>
  </w:footnote>
  <w:footnote w:id="2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2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Shah, A.B</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Loc. Cit, </w:t>
      </w:r>
      <w:r w:rsidRPr="00B611A3">
        <w:rPr>
          <w:rFonts w:ascii="Book Antiqua" w:hAnsi="Book Antiqua"/>
          <w:sz w:val="18"/>
          <w:szCs w:val="18"/>
          <w:lang w:val="id-ID"/>
        </w:rPr>
        <w:t>hlm. 34-35</w:t>
      </w:r>
    </w:p>
  </w:footnote>
  <w:footnote w:id="2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Ernst Mach, </w:t>
      </w:r>
      <w:r w:rsidRPr="00B611A3">
        <w:rPr>
          <w:rFonts w:ascii="Book Antiqua" w:hAnsi="Book Antiqua"/>
          <w:i/>
          <w:sz w:val="18"/>
          <w:szCs w:val="18"/>
        </w:rPr>
        <w:t xml:space="preserve">Contributions To The Analysis Of The Sensations, </w:t>
      </w:r>
      <w:r w:rsidRPr="00B611A3">
        <w:rPr>
          <w:rFonts w:ascii="Book Antiqua" w:hAnsi="Book Antiqua"/>
          <w:i/>
          <w:sz w:val="18"/>
          <w:szCs w:val="18"/>
          <w:lang w:val="id-ID"/>
        </w:rPr>
        <w:t>Loc. Cit.</w:t>
      </w:r>
    </w:p>
  </w:footnote>
  <w:footnote w:id="2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Heinrich A. Rommen</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Natural Law A Study in Legal and Social History and Philosophy, Loc. Cit, </w:t>
      </w:r>
      <w:r w:rsidRPr="00B611A3">
        <w:rPr>
          <w:rFonts w:ascii="Book Antiqua" w:hAnsi="Book Antiqua"/>
          <w:sz w:val="18"/>
          <w:szCs w:val="18"/>
          <w:lang w:val="id-ID"/>
        </w:rPr>
        <w:t>hlm. 44-45</w:t>
      </w:r>
    </w:p>
  </w:footnote>
  <w:footnote w:id="27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Auguste Comte,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34-35.</w:t>
      </w:r>
    </w:p>
  </w:footnote>
  <w:footnote w:id="27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Auguste Comte</w:t>
      </w:r>
      <w:r w:rsidRPr="00B611A3">
        <w:rPr>
          <w:rFonts w:ascii="Book Antiqua" w:hAnsi="Book Antiqua"/>
          <w:i/>
          <w:sz w:val="18"/>
          <w:szCs w:val="18"/>
          <w:lang w:val="id-ID"/>
        </w:rPr>
        <w:t>, Ibid</w:t>
      </w:r>
      <w:r w:rsidRPr="00B611A3">
        <w:rPr>
          <w:rFonts w:ascii="Book Antiqua" w:hAnsi="Book Antiqua"/>
          <w:sz w:val="18"/>
          <w:szCs w:val="18"/>
          <w:lang w:val="id-ID"/>
        </w:rPr>
        <w:t>, hlm. 34-35.</w:t>
      </w:r>
    </w:p>
  </w:footnote>
  <w:footnote w:id="27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Ronald Dworkin</w:t>
      </w:r>
      <w:r w:rsidRPr="00B611A3">
        <w:rPr>
          <w:rFonts w:ascii="Book Antiqua" w:hAnsi="Book Antiqua"/>
          <w:sz w:val="18"/>
          <w:szCs w:val="18"/>
          <w:lang w:val="id-ID"/>
        </w:rPr>
        <w:t>, “</w:t>
      </w:r>
      <w:r w:rsidRPr="00B611A3">
        <w:rPr>
          <w:rFonts w:ascii="Book Antiqua" w:hAnsi="Book Antiqua"/>
          <w:sz w:val="18"/>
          <w:szCs w:val="18"/>
        </w:rPr>
        <w:t>Hart’s Posthumous Reply</w:t>
      </w:r>
      <w:r w:rsidRPr="00B611A3">
        <w:rPr>
          <w:rFonts w:ascii="Book Antiqua" w:hAnsi="Book Antiqua"/>
          <w:sz w:val="18"/>
          <w:szCs w:val="18"/>
          <w:lang w:val="id-ID"/>
        </w:rPr>
        <w:t xml:space="preserve">”, Harvard Law Review, Vol. 130, hlm. </w:t>
      </w:r>
      <w:r w:rsidRPr="00B611A3">
        <w:rPr>
          <w:rFonts w:ascii="Book Antiqua" w:hAnsi="Book Antiqua"/>
          <w:sz w:val="18"/>
          <w:szCs w:val="18"/>
        </w:rPr>
        <w:t>2097</w:t>
      </w:r>
      <w:r w:rsidRPr="00B611A3">
        <w:rPr>
          <w:rFonts w:ascii="Book Antiqua" w:hAnsi="Book Antiqua"/>
          <w:sz w:val="18"/>
          <w:szCs w:val="18"/>
          <w:lang w:val="id-ID"/>
        </w:rPr>
        <w:t>, 2017</w:t>
      </w:r>
    </w:p>
  </w:footnote>
  <w:footnote w:id="27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Rene Descartes</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27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w:t>
      </w:r>
      <w:r w:rsidRPr="00B611A3">
        <w:rPr>
          <w:rFonts w:ascii="Book Antiqua" w:hAnsi="Book Antiqua"/>
          <w:sz w:val="18"/>
          <w:szCs w:val="18"/>
        </w:rPr>
        <w:t>,</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Loc. Cit, </w:t>
      </w:r>
      <w:r w:rsidRPr="00B611A3">
        <w:rPr>
          <w:rFonts w:ascii="Book Antiqua" w:hAnsi="Book Antiqua"/>
          <w:sz w:val="18"/>
          <w:szCs w:val="18"/>
          <w:lang w:val="id-ID"/>
        </w:rPr>
        <w:t>hlm. 259</w:t>
      </w:r>
    </w:p>
  </w:footnote>
  <w:footnote w:id="27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hlm.258</w:t>
      </w:r>
    </w:p>
  </w:footnote>
  <w:footnote w:id="27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 xml:space="preserve">Austin, </w:t>
      </w:r>
      <w:r w:rsidRPr="00B611A3">
        <w:rPr>
          <w:rFonts w:ascii="Book Antiqua" w:hAnsi="Book Antiqua"/>
          <w:i/>
          <w:sz w:val="18"/>
          <w:szCs w:val="18"/>
        </w:rPr>
        <w:t xml:space="preserve">TheProvince of Jurisprudence Determined,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18 </w:t>
      </w:r>
    </w:p>
  </w:footnote>
  <w:footnote w:id="28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 xml:space="preserve">Austin, </w:t>
      </w:r>
      <w:r w:rsidRPr="00B611A3">
        <w:rPr>
          <w:rFonts w:ascii="Book Antiqua" w:hAnsi="Book Antiqua"/>
          <w:i/>
          <w:sz w:val="18"/>
          <w:szCs w:val="18"/>
        </w:rPr>
        <w:t>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hlm. 20-22</w:t>
      </w:r>
    </w:p>
  </w:footnote>
  <w:footnote w:id="28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 xml:space="preserve">Austin, </w:t>
      </w:r>
      <w:r w:rsidRPr="00B611A3">
        <w:rPr>
          <w:rFonts w:ascii="Book Antiqua" w:hAnsi="Book Antiqua"/>
          <w:i/>
          <w:sz w:val="18"/>
          <w:szCs w:val="18"/>
        </w:rPr>
        <w:t>TheProvince of Jurisprudence Determined</w:t>
      </w:r>
      <w:r w:rsidRPr="00B611A3">
        <w:rPr>
          <w:rFonts w:ascii="Book Antiqua" w:hAnsi="Book Antiqua"/>
          <w:i/>
          <w:sz w:val="18"/>
          <w:szCs w:val="18"/>
          <w:lang w:val="id-ID"/>
        </w:rPr>
        <w:t>, Ibid</w:t>
      </w:r>
      <w:r w:rsidRPr="00B611A3">
        <w:rPr>
          <w:rFonts w:ascii="Book Antiqua" w:hAnsi="Book Antiqua"/>
          <w:sz w:val="18"/>
          <w:szCs w:val="18"/>
          <w:lang w:val="id-ID"/>
        </w:rPr>
        <w:t xml:space="preserve">, hlm. 18 </w:t>
      </w:r>
    </w:p>
  </w:footnote>
  <w:footnote w:id="28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259</w:t>
      </w:r>
    </w:p>
  </w:footnote>
  <w:footnote w:id="28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A General Jurisprudence fo Law and Society,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1-3 </w:t>
      </w:r>
    </w:p>
  </w:footnote>
  <w:footnote w:id="2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Apeldorn,</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35-40.</w:t>
      </w:r>
    </w:p>
  </w:footnote>
  <w:footnote w:id="2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H.L.A</w:t>
      </w:r>
      <w:r w:rsidRPr="00B611A3">
        <w:rPr>
          <w:rFonts w:ascii="Book Antiqua" w:hAnsi="Book Antiqua"/>
          <w:sz w:val="18"/>
          <w:szCs w:val="18"/>
          <w:lang w:val="id-ID"/>
        </w:rPr>
        <w:t xml:space="preserve">. </w:t>
      </w:r>
      <w:r w:rsidRPr="00B611A3">
        <w:rPr>
          <w:rFonts w:ascii="Book Antiqua" w:hAnsi="Book Antiqua"/>
          <w:sz w:val="18"/>
          <w:szCs w:val="18"/>
        </w:rPr>
        <w:t>Hart,</w:t>
      </w:r>
      <w:r w:rsidRPr="00B611A3">
        <w:rPr>
          <w:rFonts w:ascii="Book Antiqua" w:hAnsi="Book Antiqua"/>
          <w:sz w:val="18"/>
          <w:szCs w:val="18"/>
          <w:lang w:val="id-ID"/>
        </w:rPr>
        <w:t xml:space="preserve"> “</w:t>
      </w:r>
      <w:r w:rsidRPr="00B611A3">
        <w:rPr>
          <w:rFonts w:ascii="Book Antiqua" w:hAnsi="Book Antiqua"/>
          <w:sz w:val="18"/>
          <w:szCs w:val="18"/>
        </w:rPr>
        <w:t>Positivism and The Separation of Laws and Morals</w:t>
      </w:r>
      <w:r w:rsidRPr="00B611A3">
        <w:rPr>
          <w:rFonts w:ascii="Book Antiqua" w:hAnsi="Book Antiqua"/>
          <w:sz w:val="18"/>
          <w:szCs w:val="18"/>
          <w:lang w:val="id-ID"/>
        </w:rPr>
        <w:t>”</w:t>
      </w:r>
      <w:r w:rsidRPr="00B611A3">
        <w:rPr>
          <w:rFonts w:ascii="Book Antiqua" w:hAnsi="Book Antiqua"/>
          <w:sz w:val="18"/>
          <w:szCs w:val="18"/>
        </w:rPr>
        <w:t>, Harvard Law Review</w:t>
      </w:r>
      <w:r w:rsidRPr="00B611A3">
        <w:rPr>
          <w:rFonts w:ascii="Book Antiqua" w:hAnsi="Book Antiqua"/>
          <w:sz w:val="18"/>
          <w:szCs w:val="18"/>
          <w:lang w:val="id-ID"/>
        </w:rPr>
        <w:t>.</w:t>
      </w:r>
      <w:r w:rsidRPr="00B611A3">
        <w:rPr>
          <w:rFonts w:ascii="Book Antiqua" w:hAnsi="Book Antiqua"/>
          <w:sz w:val="18"/>
          <w:szCs w:val="18"/>
        </w:rPr>
        <w:t xml:space="preserve">71, </w:t>
      </w:r>
      <w:r w:rsidRPr="00B611A3">
        <w:rPr>
          <w:rFonts w:ascii="Book Antiqua" w:hAnsi="Book Antiqua"/>
          <w:sz w:val="18"/>
          <w:szCs w:val="18"/>
          <w:lang w:val="id-ID"/>
        </w:rPr>
        <w:t xml:space="preserve">hlm. </w:t>
      </w:r>
      <w:r w:rsidRPr="00B611A3">
        <w:rPr>
          <w:rFonts w:ascii="Book Antiqua" w:hAnsi="Book Antiqua"/>
          <w:sz w:val="18"/>
          <w:szCs w:val="18"/>
        </w:rPr>
        <w:t>593-629</w:t>
      </w:r>
      <w:r w:rsidRPr="00B611A3">
        <w:rPr>
          <w:rFonts w:ascii="Book Antiqua" w:hAnsi="Book Antiqua"/>
          <w:sz w:val="18"/>
          <w:szCs w:val="18"/>
          <w:lang w:val="id-ID"/>
        </w:rPr>
        <w:t>, 1958</w:t>
      </w:r>
    </w:p>
  </w:footnote>
  <w:footnote w:id="2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H.L.A. Hart,</w:t>
      </w:r>
      <w:r w:rsidRPr="00B611A3">
        <w:rPr>
          <w:rFonts w:ascii="Book Antiqua" w:hAnsi="Book Antiqua"/>
          <w:sz w:val="18"/>
          <w:szCs w:val="18"/>
          <w:lang w:val="id-ID"/>
        </w:rPr>
        <w:t xml:space="preserve"> “</w:t>
      </w:r>
      <w:r w:rsidRPr="00B611A3">
        <w:rPr>
          <w:rFonts w:ascii="Book Antiqua" w:hAnsi="Book Antiqua"/>
          <w:i/>
          <w:sz w:val="18"/>
          <w:szCs w:val="18"/>
        </w:rPr>
        <w:t>Positivism and The Separation of Laws and Morals</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302</w:t>
      </w:r>
      <w:r w:rsidRPr="00B611A3">
        <w:rPr>
          <w:rFonts w:ascii="Book Antiqua" w:hAnsi="Book Antiqua"/>
          <w:sz w:val="18"/>
          <w:szCs w:val="18"/>
          <w:lang w:val="id-ID"/>
        </w:rPr>
        <w:t>; Ronald Dworkin, “Hart’s Posthumous Reply”, Loc. Cit, hlm. 2097 &amp; 2015</w:t>
      </w:r>
    </w:p>
  </w:footnote>
  <w:footnote w:id="2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xml:space="preserve">, hlm. 1-2 </w:t>
      </w:r>
    </w:p>
  </w:footnote>
  <w:footnote w:id="2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Friedman, </w:t>
      </w:r>
      <w:r w:rsidRPr="00B611A3">
        <w:rPr>
          <w:rFonts w:ascii="Book Antiqua" w:hAnsi="Book Antiqua"/>
          <w:i/>
          <w:sz w:val="18"/>
          <w:szCs w:val="18"/>
          <w:lang w:val="id-ID"/>
        </w:rPr>
        <w:t>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170</w:t>
      </w:r>
    </w:p>
  </w:footnote>
  <w:footnote w:id="2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John Austin, </w:t>
      </w:r>
      <w:r w:rsidRPr="00B611A3">
        <w:rPr>
          <w:rFonts w:ascii="Book Antiqua" w:hAnsi="Book Antiqua"/>
          <w:i/>
          <w:sz w:val="18"/>
          <w:szCs w:val="18"/>
        </w:rPr>
        <w:t xml:space="preserve">The Province of Jurisprudence Determined, </w:t>
      </w:r>
      <w:r w:rsidRPr="00B611A3">
        <w:rPr>
          <w:rFonts w:ascii="Book Antiqua" w:hAnsi="Book Antiqua"/>
          <w:i/>
          <w:sz w:val="18"/>
          <w:szCs w:val="18"/>
          <w:lang w:val="id-ID"/>
        </w:rPr>
        <w:t>Loc. Cit</w:t>
      </w:r>
      <w:r w:rsidRPr="00B611A3">
        <w:rPr>
          <w:rFonts w:ascii="Book Antiqua" w:hAnsi="Book Antiqua"/>
          <w:sz w:val="18"/>
          <w:szCs w:val="18"/>
          <w:lang w:val="id-ID"/>
        </w:rPr>
        <w:t>, hlm. 20-22</w:t>
      </w:r>
    </w:p>
  </w:footnote>
  <w:footnote w:id="2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William David Rose</w:t>
      </w:r>
      <w:r w:rsidRPr="00B611A3">
        <w:rPr>
          <w:rFonts w:ascii="Book Antiqua" w:hAnsi="Book Antiqua"/>
          <w:sz w:val="18"/>
          <w:szCs w:val="18"/>
          <w:lang w:val="id-ID"/>
        </w:rPr>
        <w:t xml:space="preserve"> dalam </w:t>
      </w:r>
      <w:r w:rsidRPr="00B611A3">
        <w:rPr>
          <w:rFonts w:ascii="Book Antiqua" w:hAnsi="Book Antiqua"/>
          <w:sz w:val="18"/>
          <w:szCs w:val="18"/>
        </w:rPr>
        <w:t>Khudzaifah Dimyati,</w:t>
      </w:r>
      <w:r w:rsidRPr="00B611A3">
        <w:rPr>
          <w:rFonts w:ascii="Book Antiqua" w:hAnsi="Book Antiqua"/>
          <w:i/>
          <w:sz w:val="18"/>
          <w:szCs w:val="18"/>
        </w:rPr>
        <w:t>Pemikiran Hukum,</w:t>
      </w:r>
      <w:r w:rsidRPr="00B611A3">
        <w:rPr>
          <w:rFonts w:ascii="Book Antiqua" w:hAnsi="Book Antiqua"/>
          <w:i/>
          <w:sz w:val="18"/>
          <w:szCs w:val="18"/>
          <w:lang w:val="id-ID"/>
        </w:rPr>
        <w:t xml:space="preserve"> Loc. Cit,</w:t>
      </w:r>
      <w:r w:rsidRPr="00B611A3">
        <w:rPr>
          <w:rFonts w:ascii="Book Antiqua" w:hAnsi="Book Antiqua"/>
          <w:sz w:val="18"/>
          <w:szCs w:val="18"/>
          <w:lang w:val="id-ID"/>
        </w:rPr>
        <w:t xml:space="preserve"> hlm. 27</w:t>
      </w:r>
    </w:p>
  </w:footnote>
  <w:footnote w:id="29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Richard G. Singer dan John Q. La Fond, </w:t>
      </w:r>
      <w:r w:rsidRPr="00B611A3">
        <w:rPr>
          <w:rFonts w:ascii="Book Antiqua" w:hAnsi="Book Antiqua"/>
          <w:i/>
          <w:sz w:val="18"/>
          <w:szCs w:val="18"/>
          <w:lang w:val="id-ID"/>
        </w:rPr>
        <w:t>Loc. Cit</w:t>
      </w:r>
      <w:r w:rsidRPr="00B611A3">
        <w:rPr>
          <w:rFonts w:ascii="Book Antiqua" w:hAnsi="Book Antiqua"/>
          <w:sz w:val="18"/>
          <w:szCs w:val="18"/>
          <w:lang w:val="id-ID"/>
        </w:rPr>
        <w:t>, hlm. 41</w:t>
      </w:r>
    </w:p>
  </w:footnote>
  <w:footnote w:id="29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Apeldorn,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35-40.</w:t>
      </w:r>
    </w:p>
  </w:footnote>
  <w:footnote w:id="2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348</w:t>
      </w:r>
      <w:r w:rsidRPr="00B611A3">
        <w:rPr>
          <w:rFonts w:ascii="Book Antiqua" w:hAnsi="Book Antiqua"/>
          <w:sz w:val="18"/>
          <w:szCs w:val="18"/>
          <w:lang w:val="id-ID"/>
        </w:rPr>
        <w:t>-</w:t>
      </w:r>
      <w:r w:rsidRPr="00B611A3">
        <w:rPr>
          <w:rFonts w:ascii="Book Antiqua" w:hAnsi="Book Antiqua"/>
          <w:sz w:val="18"/>
          <w:szCs w:val="18"/>
        </w:rPr>
        <w:t>394</w:t>
      </w:r>
    </w:p>
  </w:footnote>
  <w:footnote w:id="2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 </w:t>
      </w:r>
      <w:r w:rsidRPr="00B611A3">
        <w:rPr>
          <w:rFonts w:ascii="Book Antiqua" w:hAnsi="Book Antiqua"/>
          <w:sz w:val="18"/>
          <w:szCs w:val="18"/>
        </w:rPr>
        <w:t xml:space="preserve">Muslehuddin,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37 </w:t>
      </w:r>
    </w:p>
  </w:footnote>
  <w:footnote w:id="29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rPr>
        <w:t xml:space="preserve">, </w:t>
      </w:r>
      <w:r w:rsidRPr="00B611A3">
        <w:rPr>
          <w:rFonts w:ascii="Book Antiqua" w:hAnsi="Book Antiqua"/>
          <w:sz w:val="18"/>
          <w:szCs w:val="18"/>
          <w:lang w:val="id-ID"/>
        </w:rPr>
        <w:t xml:space="preserve">hlm. </w:t>
      </w:r>
      <w:r w:rsidRPr="00B611A3">
        <w:rPr>
          <w:rFonts w:ascii="Book Antiqua" w:hAnsi="Book Antiqua"/>
          <w:sz w:val="18"/>
          <w:szCs w:val="18"/>
        </w:rPr>
        <w:t>9</w:t>
      </w:r>
    </w:p>
  </w:footnote>
  <w:footnote w:id="2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206 </w:t>
      </w:r>
    </w:p>
  </w:footnote>
  <w:footnote w:id="2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J.W Harris </w:t>
      </w:r>
      <w:r w:rsidRPr="00B611A3">
        <w:rPr>
          <w:rFonts w:ascii="Book Antiqua" w:hAnsi="Book Antiqua"/>
          <w:sz w:val="18"/>
          <w:szCs w:val="18"/>
          <w:lang w:val="id-ID"/>
        </w:rPr>
        <w:t xml:space="preserve">dalam </w:t>
      </w:r>
      <w:r w:rsidRPr="00B611A3">
        <w:rPr>
          <w:rFonts w:ascii="Book Antiqua" w:hAnsi="Book Antiqua"/>
          <w:sz w:val="18"/>
          <w:szCs w:val="18"/>
        </w:rPr>
        <w:t>Khudzaifah Dimyati,</w:t>
      </w:r>
      <w:r w:rsidRPr="00B611A3">
        <w:rPr>
          <w:rFonts w:ascii="Book Antiqua" w:hAnsi="Book Antiqua"/>
          <w:i/>
          <w:sz w:val="18"/>
          <w:szCs w:val="18"/>
        </w:rPr>
        <w:t xml:space="preserve">Pemikiran Hukum, </w:t>
      </w:r>
      <w:r w:rsidRPr="00B611A3">
        <w:rPr>
          <w:rFonts w:ascii="Book Antiqua" w:hAnsi="Book Antiqua"/>
          <w:i/>
          <w:sz w:val="18"/>
          <w:szCs w:val="18"/>
          <w:lang w:val="id-ID"/>
        </w:rPr>
        <w:t>Loc. Cit</w:t>
      </w:r>
      <w:r w:rsidRPr="00B611A3">
        <w:rPr>
          <w:rFonts w:ascii="Book Antiqua" w:hAnsi="Book Antiqua"/>
          <w:sz w:val="18"/>
          <w:szCs w:val="18"/>
          <w:lang w:val="id-ID"/>
        </w:rPr>
        <w:t>, hlm. 27</w:t>
      </w:r>
    </w:p>
  </w:footnote>
  <w:footnote w:id="2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Kenneth J. Vandevelde,</w:t>
      </w:r>
      <w:r w:rsidRPr="00B611A3">
        <w:rPr>
          <w:rFonts w:ascii="Book Antiqua" w:hAnsi="Book Antiqua"/>
          <w:i/>
          <w:sz w:val="18"/>
          <w:szCs w:val="18"/>
        </w:rPr>
        <w:t>Thinking Like A Lawyer: An Introduction to Legal Reasoning</w:t>
      </w:r>
      <w:r w:rsidRPr="00B611A3">
        <w:rPr>
          <w:rFonts w:ascii="Book Antiqua" w:hAnsi="Book Antiqua"/>
          <w:sz w:val="18"/>
          <w:szCs w:val="18"/>
          <w:lang w:val="id-ID"/>
        </w:rPr>
        <w:t xml:space="preserve">, </w:t>
      </w:r>
      <w:r w:rsidRPr="00B611A3">
        <w:rPr>
          <w:rFonts w:ascii="Book Antiqua" w:hAnsi="Book Antiqua"/>
          <w:sz w:val="18"/>
          <w:szCs w:val="18"/>
        </w:rPr>
        <w:t>Westview Press,Colorado</w:t>
      </w:r>
      <w:r w:rsidRPr="00B611A3">
        <w:rPr>
          <w:rFonts w:ascii="Book Antiqua" w:hAnsi="Book Antiqua"/>
          <w:sz w:val="18"/>
          <w:szCs w:val="18"/>
          <w:lang w:val="id-ID"/>
        </w:rPr>
        <w:t xml:space="preserve">: 1996, hlm. 1-2 </w:t>
      </w:r>
    </w:p>
  </w:footnote>
  <w:footnote w:id="2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206 </w:t>
      </w:r>
    </w:p>
  </w:footnote>
  <w:footnote w:id="3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Ludwing von Wiittgenstein</w:t>
      </w:r>
      <w:r w:rsidRPr="00B611A3">
        <w:rPr>
          <w:rFonts w:ascii="Book Antiqua" w:hAnsi="Book Antiqua"/>
          <w:sz w:val="18"/>
          <w:szCs w:val="18"/>
          <w:lang w:val="id-ID"/>
        </w:rPr>
        <w:t xml:space="preserve">dalam </w:t>
      </w:r>
      <w:r w:rsidRPr="00B611A3">
        <w:rPr>
          <w:rFonts w:ascii="Book Antiqua" w:hAnsi="Book Antiqua"/>
          <w:sz w:val="18"/>
          <w:szCs w:val="18"/>
        </w:rPr>
        <w:t xml:space="preserve">Jujun Suriasumantri,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48-49</w:t>
      </w:r>
    </w:p>
  </w:footnote>
  <w:footnote w:id="3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 xml:space="preserve"> danGeorge F. Kneller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53</w:t>
      </w:r>
    </w:p>
  </w:footnote>
  <w:footnote w:id="3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Pure Theory Of Law, Loc. Cit</w:t>
      </w:r>
      <w:r w:rsidRPr="00B611A3">
        <w:rPr>
          <w:rFonts w:ascii="Book Antiqua" w:hAnsi="Book Antiqua"/>
          <w:sz w:val="18"/>
          <w:szCs w:val="18"/>
          <w:lang w:val="id-ID"/>
        </w:rPr>
        <w:t>, hlm. 202</w:t>
      </w:r>
    </w:p>
  </w:footnote>
  <w:footnote w:id="30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Hans Kelsen, </w:t>
      </w:r>
      <w:r w:rsidRPr="00B611A3">
        <w:rPr>
          <w:rFonts w:ascii="Book Antiqua" w:hAnsi="Book Antiqua"/>
          <w:i/>
          <w:sz w:val="18"/>
          <w:szCs w:val="18"/>
          <w:lang w:val="id-ID"/>
        </w:rPr>
        <w:t xml:space="preserve">Pure Theory Of Law, Loc. Cit, </w:t>
      </w:r>
      <w:r w:rsidRPr="00B611A3">
        <w:rPr>
          <w:rFonts w:ascii="Book Antiqua" w:hAnsi="Book Antiqua"/>
          <w:sz w:val="18"/>
          <w:szCs w:val="18"/>
          <w:lang w:val="id-ID"/>
        </w:rPr>
        <w:t>hlm. 202</w:t>
      </w:r>
    </w:p>
  </w:footnote>
  <w:footnote w:id="30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hlm. 7</w:t>
      </w:r>
    </w:p>
  </w:footnote>
  <w:footnote w:id="305">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Pr="00B611A3">
        <w:rPr>
          <w:rFonts w:ascii="Book Antiqua" w:hAnsi="Book Antiqua" w:cs="Arial"/>
          <w:sz w:val="18"/>
          <w:szCs w:val="18"/>
        </w:rPr>
        <w:t>Imam al-Ghazali,</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3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3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Adian Husaini</w:t>
      </w:r>
      <w:r w:rsidRPr="00B611A3">
        <w:rPr>
          <w:rFonts w:ascii="Book Antiqua" w:hAnsi="Book Antiqua"/>
          <w:sz w:val="18"/>
          <w:szCs w:val="18"/>
          <w:lang w:val="id-ID"/>
        </w:rPr>
        <w:t>, e</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hlm. 212</w:t>
      </w:r>
    </w:p>
  </w:footnote>
  <w:footnote w:id="3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xml:space="preserve">, hlm. 92-94;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hlm. 240-241</w:t>
      </w:r>
    </w:p>
  </w:footnote>
  <w:footnote w:id="309">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Russell D. Covey</w:t>
      </w:r>
      <w:r w:rsidRPr="00B611A3">
        <w:rPr>
          <w:rFonts w:ascii="Book Antiqua" w:hAnsi="Book Antiqua" w:cs="Times New Roman"/>
          <w:sz w:val="18"/>
          <w:szCs w:val="18"/>
          <w:lang w:val="id-ID"/>
        </w:rPr>
        <w:t>, Rules, “Standards, Sentencing, And The Nature Of Law”,  California Law Review, Vol. 104, hlm. 495-496, 2016</w:t>
      </w:r>
    </w:p>
  </w:footnote>
  <w:footnote w:id="31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Q.S Al-Balad ayat 8-9;</w:t>
      </w:r>
      <w:r w:rsidRPr="00B611A3">
        <w:rPr>
          <w:rFonts w:ascii="Book Antiqua" w:hAnsi="Book Antiqua" w:cs="Times New Roman"/>
          <w:sz w:val="18"/>
          <w:szCs w:val="18"/>
          <w:lang w:val="id-ID"/>
        </w:rPr>
        <w:t xml:space="preserve"> Q.S Ali Imran ayat 190-191; Q.S As Syams ayat 7-10.</w:t>
      </w:r>
    </w:p>
  </w:footnote>
  <w:footnote w:id="31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w:t>
      </w:r>
      <w:r w:rsidRPr="00B611A3">
        <w:rPr>
          <w:rFonts w:ascii="Book Antiqua" w:hAnsi="Book Antiqua"/>
          <w:sz w:val="18"/>
          <w:szCs w:val="18"/>
        </w:rPr>
        <w:t>Al-Jatsiyyah ayat 23</w:t>
      </w:r>
      <w:r w:rsidRPr="00B611A3">
        <w:rPr>
          <w:rFonts w:ascii="Book Antiqua" w:hAnsi="Book Antiqua"/>
          <w:sz w:val="18"/>
          <w:szCs w:val="18"/>
          <w:lang w:val="id-ID"/>
        </w:rPr>
        <w:t>.</w:t>
      </w:r>
    </w:p>
  </w:footnote>
  <w:footnote w:id="3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Menurut </w:t>
      </w:r>
      <w:r w:rsidRPr="00B611A3">
        <w:rPr>
          <w:rFonts w:ascii="Book Antiqua" w:hAnsi="Book Antiqua"/>
          <w:sz w:val="18"/>
          <w:szCs w:val="18"/>
        </w:rPr>
        <w:t>Ikhwan al-Shafa</w:t>
      </w:r>
      <w:r w:rsidRPr="00B611A3">
        <w:rPr>
          <w:rFonts w:ascii="Book Antiqua" w:hAnsi="Book Antiqua"/>
          <w:sz w:val="18"/>
          <w:szCs w:val="18"/>
          <w:lang w:val="id-ID"/>
        </w:rPr>
        <w:t xml:space="preserve">, </w:t>
      </w:r>
      <w:r w:rsidRPr="00B611A3">
        <w:rPr>
          <w:rFonts w:ascii="Book Antiqua" w:hAnsi="Book Antiqua"/>
          <w:sz w:val="18"/>
          <w:szCs w:val="18"/>
        </w:rPr>
        <w:t>seluruh pengetahuan diusahakan dengan melaluidasarindera.</w:t>
      </w:r>
      <w:r w:rsidRPr="00B611A3">
        <w:rPr>
          <w:rFonts w:ascii="Book Antiqua" w:hAnsi="Book Antiqua"/>
          <w:sz w:val="18"/>
          <w:szCs w:val="18"/>
          <w:lang w:val="id-ID"/>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3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206</w:t>
      </w:r>
    </w:p>
  </w:footnote>
  <w:footnote w:id="31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3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 Bertens</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44-45</w:t>
      </w:r>
    </w:p>
  </w:footnote>
  <w:footnote w:id="3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1-5</w:t>
      </w:r>
    </w:p>
  </w:footnote>
  <w:footnote w:id="317">
    <w:p w:rsidR="004E75CF" w:rsidRPr="00B611A3" w:rsidRDefault="004E75CF" w:rsidP="00B611A3">
      <w:pPr>
        <w:pStyle w:val="FootnoteText"/>
        <w:jc w:val="both"/>
        <w:rPr>
          <w:rFonts w:ascii="Book Antiqua" w:hAnsi="Book Antiqua"/>
          <w:color w:val="000000" w:themeColor="text1"/>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A</w:t>
      </w:r>
      <w:r w:rsidRPr="00B611A3">
        <w:rPr>
          <w:rFonts w:ascii="Book Antiqua" w:hAnsi="Book Antiqua"/>
          <w:color w:val="000000" w:themeColor="text1"/>
          <w:sz w:val="18"/>
          <w:szCs w:val="18"/>
        </w:rPr>
        <w:t xml:space="preserve">ditya </w:t>
      </w:r>
      <w:r w:rsidRPr="00B611A3">
        <w:rPr>
          <w:rFonts w:ascii="Book Antiqua" w:hAnsi="Book Antiqua"/>
          <w:color w:val="000000" w:themeColor="text1"/>
          <w:sz w:val="18"/>
          <w:szCs w:val="18"/>
          <w:lang w:val="id-ID"/>
        </w:rPr>
        <w:t>B</w:t>
      </w:r>
      <w:r w:rsidRPr="00B611A3">
        <w:rPr>
          <w:rFonts w:ascii="Book Antiqua" w:hAnsi="Book Antiqua"/>
          <w:color w:val="000000" w:themeColor="text1"/>
          <w:sz w:val="18"/>
          <w:szCs w:val="18"/>
        </w:rPr>
        <w:t>amzai</w:t>
      </w:r>
      <w:r w:rsidRPr="00B611A3">
        <w:rPr>
          <w:rFonts w:ascii="Book Antiqua" w:hAnsi="Book Antiqua"/>
          <w:color w:val="000000" w:themeColor="text1"/>
          <w:sz w:val="18"/>
          <w:szCs w:val="18"/>
          <w:lang w:val="id-ID"/>
        </w:rPr>
        <w:t>, “The Origins of Judicial Deference to Executive Interpretation”, The Yale Law Journal. 126, hlm. 1000-1001, 2017</w:t>
      </w:r>
    </w:p>
  </w:footnote>
  <w:footnote w:id="318">
    <w:p w:rsidR="004E75CF" w:rsidRPr="00B611A3" w:rsidRDefault="004E75CF" w:rsidP="00B611A3">
      <w:pPr>
        <w:pStyle w:val="FootnoteText"/>
        <w:jc w:val="both"/>
        <w:rPr>
          <w:rFonts w:ascii="Book Antiqua" w:hAnsi="Book Antiqua"/>
          <w:color w:val="000000" w:themeColor="text1"/>
          <w:sz w:val="18"/>
          <w:szCs w:val="18"/>
          <w:lang w:val="id-ID"/>
        </w:rPr>
      </w:pPr>
      <w:r w:rsidRPr="00B611A3">
        <w:rPr>
          <w:rStyle w:val="FootnoteReference"/>
          <w:rFonts w:ascii="Book Antiqua" w:hAnsi="Book Antiqua"/>
          <w:color w:val="000000" w:themeColor="text1"/>
          <w:sz w:val="18"/>
          <w:szCs w:val="18"/>
        </w:rPr>
        <w:footnoteRef/>
      </w:r>
      <w:r w:rsidRPr="00B611A3">
        <w:rPr>
          <w:rFonts w:ascii="Book Antiqua" w:hAnsi="Book Antiqua"/>
          <w:color w:val="000000" w:themeColor="text1"/>
          <w:sz w:val="18"/>
          <w:szCs w:val="18"/>
          <w:lang w:val="id-ID"/>
        </w:rPr>
        <w:t xml:space="preserve"> </w:t>
      </w:r>
      <w:r w:rsidRPr="00B611A3">
        <w:rPr>
          <w:rFonts w:ascii="Book Antiqua" w:hAnsi="Book Antiqua"/>
          <w:color w:val="000000" w:themeColor="text1"/>
          <w:sz w:val="18"/>
          <w:szCs w:val="18"/>
        </w:rPr>
        <w:t>Denise Brunsdon</w:t>
      </w:r>
      <w:r w:rsidRPr="00B611A3">
        <w:rPr>
          <w:rFonts w:ascii="Book Antiqua" w:hAnsi="Book Antiqua"/>
          <w:color w:val="000000" w:themeColor="text1"/>
          <w:sz w:val="18"/>
          <w:szCs w:val="18"/>
          <w:lang w:val="id-ID"/>
        </w:rPr>
        <w:t>, “Recognizing Indigenous Legal Values in Modern Copyright Law”, Western Journal of Legal Studies, Vol. 6, hlm. 1-2, 2015</w:t>
      </w:r>
    </w:p>
  </w:footnote>
  <w:footnote w:id="3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HaroldTitus,</w:t>
      </w:r>
      <w:r w:rsidRPr="00B611A3">
        <w:rPr>
          <w:rFonts w:ascii="Book Antiqua" w:hAnsi="Book Antiqua"/>
          <w:i/>
          <w:sz w:val="18"/>
          <w:szCs w:val="18"/>
          <w:lang w:val="id-ID"/>
        </w:rPr>
        <w:t>Loc. Cit</w:t>
      </w:r>
      <w:r w:rsidRPr="00B611A3">
        <w:rPr>
          <w:rFonts w:ascii="Book Antiqua" w:hAnsi="Book Antiqua"/>
          <w:sz w:val="18"/>
          <w:szCs w:val="18"/>
          <w:lang w:val="id-ID"/>
        </w:rPr>
        <w:t>, hlm. 363</w:t>
      </w:r>
    </w:p>
  </w:footnote>
  <w:footnote w:id="3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Shah, A.B</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34-35</w:t>
      </w:r>
    </w:p>
  </w:footnote>
  <w:footnote w:id="3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32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Yasin ayat 37-40; Al-Gasyiyah ayat 17-20; Adz Dzariyat ayat 21; An Naba ayat 6-7; Yusuf ayat 105; Al ‘Alaq ayat 1; al-Nahl ayat 88; al-Baqarah ayat 31; Yunus ayat 6, dan ayat-ayat yang lain dalam al-Quran yang banyak terkait dengan penjelasan tentang indera sebagai sarana penalaran manusiai. </w:t>
      </w:r>
    </w:p>
  </w:footnote>
  <w:footnote w:id="323">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Mulyadi Kartanegara,</w:t>
      </w:r>
      <w:r w:rsidRPr="00B611A3">
        <w:rPr>
          <w:rFonts w:ascii="Book Antiqua" w:hAnsi="Book Antiqua"/>
          <w:i/>
          <w:sz w:val="18"/>
          <w:szCs w:val="18"/>
          <w:lang w:val="id-ID"/>
        </w:rPr>
        <w:t>Loc. Cit</w:t>
      </w:r>
      <w:r w:rsidRPr="00B611A3">
        <w:rPr>
          <w:rFonts w:ascii="Book Antiqua" w:hAnsi="Book Antiqua"/>
          <w:sz w:val="18"/>
          <w:szCs w:val="18"/>
          <w:lang w:val="id-ID"/>
        </w:rPr>
        <w:t>, hlm. 62</w:t>
      </w:r>
    </w:p>
  </w:footnote>
  <w:footnote w:id="3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Gary Lawson</w:t>
      </w:r>
      <w:r w:rsidRPr="00B611A3">
        <w:rPr>
          <w:rFonts w:ascii="Book Antiqua" w:hAnsi="Book Antiqua"/>
          <w:sz w:val="18"/>
          <w:szCs w:val="18"/>
          <w:lang w:val="id-ID"/>
        </w:rPr>
        <w:t>, “Reflections Of An Empirical Reader (Or: Could Fleming Be Right This Time)”, Boston University Law Review, Vol. 96, hlm. 1458-1459, 2016</w:t>
      </w:r>
    </w:p>
  </w:footnote>
  <w:footnote w:id="3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Alf Ross, </w:t>
      </w:r>
      <w:r w:rsidRPr="00B611A3">
        <w:rPr>
          <w:rFonts w:ascii="Book Antiqua" w:hAnsi="Book Antiqua"/>
          <w:i/>
          <w:sz w:val="18"/>
          <w:szCs w:val="18"/>
          <w:lang w:val="id-ID"/>
        </w:rPr>
        <w:t>On Law and Justice, Loc. Cit</w:t>
      </w:r>
      <w:r w:rsidRPr="00B611A3">
        <w:rPr>
          <w:rFonts w:ascii="Book Antiqua" w:hAnsi="Book Antiqua"/>
          <w:sz w:val="18"/>
          <w:szCs w:val="18"/>
          <w:lang w:val="id-ID"/>
        </w:rPr>
        <w:t xml:space="preserve">, hlm. 38, dalam Atip Latipul hayat, </w:t>
      </w:r>
      <w:r w:rsidRPr="00B611A3">
        <w:rPr>
          <w:rFonts w:ascii="Book Antiqua" w:hAnsi="Book Antiqua"/>
          <w:i/>
          <w:sz w:val="18"/>
          <w:szCs w:val="18"/>
          <w:lang w:val="id-ID"/>
        </w:rPr>
        <w:t>Op. Cit</w:t>
      </w:r>
      <w:r w:rsidRPr="00B611A3">
        <w:rPr>
          <w:rFonts w:ascii="Book Antiqua" w:hAnsi="Book Antiqua"/>
          <w:sz w:val="18"/>
          <w:szCs w:val="18"/>
          <w:lang w:val="id-ID"/>
        </w:rPr>
        <w:t>, hlm. 202</w:t>
      </w:r>
    </w:p>
  </w:footnote>
  <w:footnote w:id="3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Mathias Reimann,</w:t>
      </w:r>
      <w:r w:rsidRPr="00B611A3">
        <w:rPr>
          <w:rFonts w:ascii="Book Antiqua" w:hAnsi="Book Antiqua"/>
          <w:i/>
          <w:sz w:val="18"/>
          <w:szCs w:val="18"/>
          <w:lang w:val="id-ID"/>
        </w:rPr>
        <w:t xml:space="preserve"> The Historical School Against Codification: Savigny, Carter and the Defeat of the New York Civil Code, Loc. Cit</w:t>
      </w:r>
      <w:r w:rsidRPr="00B611A3">
        <w:rPr>
          <w:rFonts w:ascii="Book Antiqua" w:hAnsi="Book Antiqua"/>
          <w:sz w:val="18"/>
          <w:szCs w:val="18"/>
          <w:lang w:val="id-ID"/>
        </w:rPr>
        <w:t>, hlm. 95-97,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199</w:t>
      </w:r>
    </w:p>
  </w:footnote>
  <w:footnote w:id="3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Julius 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421-422, dalam Atip Latipulhayat, </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 xml:space="preserve">hlm. 197    </w:t>
      </w:r>
    </w:p>
  </w:footnote>
  <w:footnote w:id="328">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i/>
          <w:sz w:val="18"/>
          <w:szCs w:val="18"/>
          <w:lang w:val="id-ID"/>
        </w:rPr>
        <w:t>Loc. Cit</w:t>
      </w:r>
      <w:r w:rsidRPr="00B611A3">
        <w:rPr>
          <w:rFonts w:ascii="Book Antiqua" w:hAnsi="Book Antiqua"/>
          <w:sz w:val="18"/>
          <w:szCs w:val="18"/>
          <w:lang w:val="id-ID"/>
        </w:rPr>
        <w:t>, hlm. 127</w:t>
      </w:r>
    </w:p>
  </w:footnote>
  <w:footnote w:id="32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 xml:space="preserve">FX. Adji Samekto, </w:t>
      </w:r>
      <w:r w:rsidRPr="00B611A3">
        <w:rPr>
          <w:rFonts w:ascii="Book Antiqua" w:hAnsi="Book Antiqua"/>
          <w:sz w:val="18"/>
          <w:szCs w:val="18"/>
          <w:lang w:val="id-ID"/>
        </w:rPr>
        <w:t>“M</w:t>
      </w:r>
      <w:r w:rsidRPr="00B611A3">
        <w:rPr>
          <w:rFonts w:ascii="Book Antiqua" w:hAnsi="Book Antiqua"/>
          <w:sz w:val="18"/>
          <w:szCs w:val="18"/>
        </w:rPr>
        <w:t xml:space="preserve">enggugat </w:t>
      </w:r>
      <w:r w:rsidRPr="00B611A3">
        <w:rPr>
          <w:rFonts w:ascii="Book Antiqua" w:hAnsi="Book Antiqua"/>
          <w:sz w:val="18"/>
          <w:szCs w:val="18"/>
          <w:lang w:val="id-ID"/>
        </w:rPr>
        <w:t>R</w:t>
      </w:r>
      <w:r w:rsidRPr="00B611A3">
        <w:rPr>
          <w:rFonts w:ascii="Book Antiqua" w:hAnsi="Book Antiqua"/>
          <w:sz w:val="18"/>
          <w:szCs w:val="18"/>
        </w:rPr>
        <w:t xml:space="preserve">elasi </w:t>
      </w:r>
      <w:r w:rsidRPr="00B611A3">
        <w:rPr>
          <w:rFonts w:ascii="Book Antiqua" w:hAnsi="Book Antiqua"/>
          <w:sz w:val="18"/>
          <w:szCs w:val="18"/>
          <w:lang w:val="id-ID"/>
        </w:rPr>
        <w:t>F</w:t>
      </w:r>
      <w:r w:rsidRPr="00B611A3">
        <w:rPr>
          <w:rFonts w:ascii="Book Antiqua" w:hAnsi="Book Antiqua"/>
          <w:sz w:val="18"/>
          <w:szCs w:val="18"/>
        </w:rPr>
        <w:t xml:space="preserve">ilsafat </w:t>
      </w:r>
      <w:r w:rsidRPr="00B611A3">
        <w:rPr>
          <w:rFonts w:ascii="Book Antiqua" w:hAnsi="Book Antiqua"/>
          <w:sz w:val="18"/>
          <w:szCs w:val="18"/>
          <w:lang w:val="id-ID"/>
        </w:rPr>
        <w:t>P</w:t>
      </w:r>
      <w:r w:rsidRPr="00B611A3">
        <w:rPr>
          <w:rFonts w:ascii="Book Antiqua" w:hAnsi="Book Antiqua"/>
          <w:sz w:val="18"/>
          <w:szCs w:val="18"/>
        </w:rPr>
        <w:t xml:space="preserve">ositivisme </w:t>
      </w:r>
      <w:r w:rsidRPr="00B611A3">
        <w:rPr>
          <w:rFonts w:ascii="Book Antiqua" w:hAnsi="Book Antiqua"/>
          <w:sz w:val="18"/>
          <w:szCs w:val="18"/>
          <w:lang w:val="id-ID"/>
        </w:rPr>
        <w:t>D</w:t>
      </w:r>
      <w:r w:rsidRPr="00B611A3">
        <w:rPr>
          <w:rFonts w:ascii="Book Antiqua" w:hAnsi="Book Antiqua"/>
          <w:sz w:val="18"/>
          <w:szCs w:val="18"/>
        </w:rPr>
        <w:t xml:space="preserve">engan </w:t>
      </w:r>
      <w:r w:rsidRPr="00B611A3">
        <w:rPr>
          <w:rFonts w:ascii="Book Antiqua" w:hAnsi="Book Antiqua"/>
          <w:sz w:val="18"/>
          <w:szCs w:val="18"/>
          <w:lang w:val="id-ID"/>
        </w:rPr>
        <w:t>A</w:t>
      </w:r>
      <w:r w:rsidRPr="00B611A3">
        <w:rPr>
          <w:rFonts w:ascii="Book Antiqua" w:hAnsi="Book Antiqua"/>
          <w:sz w:val="18"/>
          <w:szCs w:val="18"/>
        </w:rPr>
        <w:t xml:space="preserve">jaran </w:t>
      </w:r>
      <w:r w:rsidRPr="00B611A3">
        <w:rPr>
          <w:rFonts w:ascii="Book Antiqua" w:hAnsi="Book Antiqua"/>
          <w:sz w:val="18"/>
          <w:szCs w:val="18"/>
          <w:lang w:val="id-ID"/>
        </w:rPr>
        <w:t>H</w:t>
      </w:r>
      <w:r w:rsidRPr="00B611A3">
        <w:rPr>
          <w:rFonts w:ascii="Book Antiqua" w:hAnsi="Book Antiqua"/>
          <w:sz w:val="18"/>
          <w:szCs w:val="18"/>
        </w:rPr>
        <w:t xml:space="preserve">ukum </w:t>
      </w:r>
      <w:r w:rsidRPr="00B611A3">
        <w:rPr>
          <w:rFonts w:ascii="Book Antiqua" w:hAnsi="Book Antiqua"/>
          <w:sz w:val="18"/>
          <w:szCs w:val="18"/>
          <w:lang w:val="id-ID"/>
        </w:rPr>
        <w:t>D</w:t>
      </w:r>
      <w:r w:rsidRPr="00B611A3">
        <w:rPr>
          <w:rFonts w:ascii="Book Antiqua" w:hAnsi="Book Antiqua"/>
          <w:sz w:val="18"/>
          <w:szCs w:val="18"/>
        </w:rPr>
        <w:t>oktrinal</w:t>
      </w:r>
      <w:r w:rsidRPr="00B611A3">
        <w:rPr>
          <w:rFonts w:ascii="Book Antiqua" w:hAnsi="Book Antiqua"/>
          <w:sz w:val="18"/>
          <w:szCs w:val="18"/>
          <w:lang w:val="id-ID"/>
        </w:rPr>
        <w:t>”</w:t>
      </w:r>
      <w:r w:rsidRPr="00B611A3">
        <w:rPr>
          <w:rFonts w:ascii="Book Antiqua" w:hAnsi="Book Antiqua"/>
          <w:sz w:val="18"/>
          <w:szCs w:val="18"/>
        </w:rPr>
        <w:t xml:space="preserve">, </w:t>
      </w:r>
      <w:r w:rsidRPr="00B611A3">
        <w:rPr>
          <w:rFonts w:ascii="Book Antiqua" w:hAnsi="Book Antiqua"/>
          <w:sz w:val="18"/>
          <w:szCs w:val="18"/>
          <w:lang w:val="id-ID"/>
        </w:rPr>
        <w:t>J</w:t>
      </w:r>
      <w:r w:rsidRPr="00B611A3">
        <w:rPr>
          <w:rFonts w:ascii="Book Antiqua" w:hAnsi="Book Antiqua"/>
          <w:sz w:val="18"/>
          <w:szCs w:val="18"/>
        </w:rPr>
        <w:t>urnal Dinamika Hukum, Vol. 12, No. 1, hlm. 83, 2012</w:t>
      </w:r>
    </w:p>
  </w:footnote>
  <w:footnote w:id="33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Miska Muhammad Amin,</w:t>
      </w:r>
      <w:r w:rsidRPr="00B611A3">
        <w:rPr>
          <w:rFonts w:ascii="Book Antiqua" w:hAnsi="Book Antiqua"/>
          <w:i/>
          <w:sz w:val="18"/>
          <w:szCs w:val="18"/>
          <w:lang w:val="id-ID"/>
        </w:rPr>
        <w:t>Loc. Cit</w:t>
      </w:r>
      <w:r w:rsidRPr="00B611A3">
        <w:rPr>
          <w:rFonts w:ascii="Book Antiqua" w:hAnsi="Book Antiqua"/>
          <w:sz w:val="18"/>
          <w:szCs w:val="18"/>
          <w:lang w:val="id-ID"/>
        </w:rPr>
        <w:t xml:space="preserve">, hlm. 2-3; Muhsin Mahdi,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58-60; al-Jabiri, </w:t>
      </w:r>
      <w:r w:rsidRPr="00B611A3">
        <w:rPr>
          <w:rFonts w:ascii="Book Antiqua" w:hAnsi="Book Antiqua"/>
          <w:i/>
          <w:sz w:val="18"/>
          <w:szCs w:val="18"/>
          <w:lang w:val="id-ID"/>
        </w:rPr>
        <w:t>Loc. Cit</w:t>
      </w:r>
      <w:r w:rsidRPr="00B611A3">
        <w:rPr>
          <w:rFonts w:ascii="Book Antiqua" w:hAnsi="Book Antiqua"/>
          <w:sz w:val="18"/>
          <w:szCs w:val="18"/>
          <w:lang w:val="id-ID"/>
        </w:rPr>
        <w:t xml:space="preserve">, </w:t>
      </w:r>
      <w:r w:rsidRPr="00B611A3">
        <w:rPr>
          <w:rFonts w:ascii="Book Antiqua" w:hAnsi="Book Antiqua"/>
          <w:i/>
          <w:sz w:val="18"/>
          <w:szCs w:val="18"/>
          <w:lang w:val="id-ID"/>
        </w:rPr>
        <w:t>Takwin</w:t>
      </w:r>
      <w:r w:rsidRPr="00B611A3">
        <w:rPr>
          <w:rFonts w:ascii="Book Antiqua" w:hAnsi="Book Antiqua"/>
          <w:sz w:val="18"/>
          <w:szCs w:val="18"/>
          <w:lang w:val="id-ID"/>
        </w:rPr>
        <w:t xml:space="preserve">, hlm. 240; </w:t>
      </w:r>
      <w:r w:rsidRPr="00B611A3">
        <w:rPr>
          <w:rFonts w:ascii="Book Antiqua" w:hAnsi="Book Antiqua"/>
          <w:sz w:val="18"/>
          <w:szCs w:val="18"/>
        </w:rPr>
        <w:t xml:space="preserve">Muslim Ishak, </w:t>
      </w:r>
      <w:r w:rsidRPr="00B611A3">
        <w:rPr>
          <w:rFonts w:ascii="Book Antiqua" w:hAnsi="Book Antiqua"/>
          <w:i/>
          <w:sz w:val="18"/>
          <w:szCs w:val="18"/>
          <w:lang w:val="id-ID"/>
        </w:rPr>
        <w:t>Loc. Cit</w:t>
      </w:r>
      <w:r w:rsidRPr="00B611A3">
        <w:rPr>
          <w:rFonts w:ascii="Book Antiqua" w:hAnsi="Book Antiqua"/>
          <w:sz w:val="18"/>
          <w:szCs w:val="18"/>
          <w:lang w:val="id-ID"/>
        </w:rPr>
        <w:t>, hlm. 32</w:t>
      </w:r>
    </w:p>
  </w:footnote>
  <w:footnote w:id="3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Q.S Ali Imran ayat 65, 118; al-Baqarah ayat 44, 73, 75, 76, 170, 171, 242; Yasin ayat 68; Al-Maidah ayat 103; al-Anam ayat 32, 151; al-Araf ayat 169, Yunus ayat 16, 42; Hud ayat 51; Yusuf ayat 2, 109; al-Nah ayat 12, 67; al-Anbiya ayat 10, 67; al-Hajj ayat 46; al-Mu’minun ayat 80; al-Nur ayat 61; al-Furqan ayat 44; al-Shura ayat 28; al-Qasas ayat 60; al-Ankabut ayat 35, 43, 63; al-Rum ayat 24, 28; Yasin ayat 62, 68; al-Saffat ayat 17; al-Hashr ayat 14; al-Mulk ayat 10, dan ayat-ayat lain dalam al-Quran yang banyak menjelaskan akal sebagai sarana penalaran untuk mengembangkan epistemologi ilmu pengetahuan </w:t>
      </w:r>
    </w:p>
  </w:footnote>
  <w:footnote w:id="33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Auguste Comte,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w:t>
      </w:r>
      <w:r w:rsidRPr="00B611A3">
        <w:rPr>
          <w:rFonts w:ascii="Book Antiqua" w:hAnsi="Book Antiqua" w:cs="Times New Roman"/>
          <w:sz w:val="18"/>
          <w:szCs w:val="18"/>
        </w:rPr>
        <w:t>34-35</w:t>
      </w:r>
    </w:p>
  </w:footnote>
  <w:footnote w:id="33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Henry Prakken</w:t>
      </w:r>
      <w:r w:rsidRPr="00B611A3">
        <w:rPr>
          <w:rFonts w:ascii="Book Antiqua" w:hAnsi="Book Antiqua" w:cs="Times New Roman"/>
          <w:sz w:val="18"/>
          <w:szCs w:val="18"/>
          <w:lang w:val="id-ID"/>
        </w:rPr>
        <w:t>&amp; Giovanni Sartor, “Modelling Reasoning with Precedents in a Formal Dialogue Game”, Artificial Intelligence and Law. 6, hlm. 231-232, 1998</w:t>
      </w:r>
    </w:p>
  </w:footnote>
  <w:footnote w:id="33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lang w:val="id-ID"/>
        </w:rPr>
        <w:t xml:space="preserve"> Al-Farabi,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106; Al-Jabiri, </w:t>
      </w:r>
      <w:r w:rsidRPr="00B611A3">
        <w:rPr>
          <w:rFonts w:ascii="Book Antiqua" w:hAnsi="Book Antiqua" w:cs="Times New Roman"/>
          <w:i/>
          <w:sz w:val="18"/>
          <w:szCs w:val="18"/>
          <w:lang w:val="id-ID"/>
        </w:rPr>
        <w:t>Bunyah al-Aql al-Arabi</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384-436; </w:t>
      </w:r>
      <w:r w:rsidRPr="00B611A3">
        <w:rPr>
          <w:rFonts w:ascii="Book Antiqua" w:hAnsi="Book Antiqua" w:cs="Times New Roman"/>
          <w:sz w:val="18"/>
          <w:szCs w:val="18"/>
        </w:rPr>
        <w:t>Bertrand Russel</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xml:space="preserve">, hlm. 206 </w:t>
      </w:r>
    </w:p>
  </w:footnote>
  <w:footnote w:id="335">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Muh. Baqir Ash-Shadr,</w:t>
      </w:r>
      <w:r w:rsidRPr="00B611A3">
        <w:rPr>
          <w:rFonts w:ascii="Book Antiqua" w:hAnsi="Book Antiqua"/>
          <w:i/>
          <w:sz w:val="18"/>
          <w:szCs w:val="18"/>
        </w:rPr>
        <w:t>Falsafatuna</w:t>
      </w:r>
      <w:r w:rsidRPr="00B611A3">
        <w:rPr>
          <w:rFonts w:ascii="Book Antiqua" w:hAnsi="Book Antiqua"/>
          <w:sz w:val="18"/>
          <w:szCs w:val="18"/>
        </w:rPr>
        <w:t xml:space="preserve">,Penerbit Mizan, </w:t>
      </w:r>
      <w:r w:rsidRPr="00B611A3">
        <w:rPr>
          <w:rFonts w:ascii="Book Antiqua" w:hAnsi="Book Antiqua"/>
          <w:sz w:val="18"/>
          <w:szCs w:val="18"/>
          <w:lang w:val="id-ID"/>
        </w:rPr>
        <w:t xml:space="preserve">Bandung: 1991, </w:t>
      </w:r>
      <w:r w:rsidRPr="00B611A3">
        <w:rPr>
          <w:rFonts w:ascii="Book Antiqua" w:hAnsi="Book Antiqua"/>
          <w:sz w:val="18"/>
          <w:szCs w:val="18"/>
        </w:rPr>
        <w:t>hlm. 25-56</w:t>
      </w:r>
    </w:p>
  </w:footnote>
  <w:footnote w:id="3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Abu Seyyed Hossein Nasr</w:t>
      </w:r>
      <w:r w:rsidRPr="00B611A3">
        <w:rPr>
          <w:rFonts w:ascii="Book Antiqua" w:hAnsi="Book Antiqua"/>
          <w:i/>
          <w:sz w:val="18"/>
          <w:szCs w:val="18"/>
        </w:rPr>
        <w:t>,</w:t>
      </w:r>
      <w:r w:rsidRPr="00B611A3">
        <w:rPr>
          <w:rFonts w:ascii="Book Antiqua" w:hAnsi="Book Antiqua"/>
          <w:i/>
          <w:sz w:val="18"/>
          <w:szCs w:val="18"/>
          <w:lang w:val="id-ID"/>
        </w:rPr>
        <w:t xml:space="preserve"> Loc. Cit</w:t>
      </w:r>
      <w:r w:rsidRPr="00B611A3">
        <w:rPr>
          <w:rFonts w:ascii="Book Antiqua" w:hAnsi="Book Antiqua"/>
          <w:sz w:val="18"/>
          <w:szCs w:val="18"/>
          <w:lang w:val="id-ID"/>
        </w:rPr>
        <w:t xml:space="preserve">, hlm. 72 </w:t>
      </w:r>
    </w:p>
  </w:footnote>
  <w:footnote w:id="3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Al-Ghazali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61; Fuadi, </w:t>
      </w:r>
      <w:r w:rsidRPr="00B611A3">
        <w:rPr>
          <w:rFonts w:ascii="Book Antiqua" w:hAnsi="Book Antiqua"/>
          <w:i/>
          <w:sz w:val="18"/>
          <w:szCs w:val="18"/>
          <w:lang w:val="id-ID"/>
        </w:rPr>
        <w:t>Loc. Cit</w:t>
      </w:r>
      <w:r w:rsidRPr="00B611A3">
        <w:rPr>
          <w:rFonts w:ascii="Book Antiqua" w:hAnsi="Book Antiqua"/>
          <w:sz w:val="18"/>
          <w:szCs w:val="18"/>
          <w:lang w:val="id-ID"/>
        </w:rPr>
        <w:t>, hlm. 85</w:t>
      </w:r>
    </w:p>
  </w:footnote>
  <w:footnote w:id="3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 </w:t>
      </w:r>
      <w:r w:rsidRPr="00B611A3">
        <w:rPr>
          <w:rFonts w:ascii="Book Antiqua" w:hAnsi="Book Antiqua"/>
          <w:sz w:val="18"/>
          <w:szCs w:val="18"/>
        </w:rPr>
        <w:t>Friedman,</w:t>
      </w:r>
      <w:r w:rsidRPr="00B611A3">
        <w:rPr>
          <w:rFonts w:ascii="Book Antiqua" w:hAnsi="Book Antiqua"/>
          <w:i/>
          <w:sz w:val="18"/>
          <w:szCs w:val="18"/>
          <w:lang w:val="id-ID"/>
        </w:rPr>
        <w:t xml:space="preserve"> Legal Theory</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258;  John Austin, </w:t>
      </w:r>
      <w:r w:rsidRPr="00B611A3">
        <w:rPr>
          <w:rFonts w:ascii="Book Antiqua" w:hAnsi="Book Antiqua"/>
          <w:i/>
          <w:sz w:val="18"/>
          <w:szCs w:val="18"/>
          <w:lang w:val="id-ID"/>
        </w:rPr>
        <w:t>The Province of Jurisprudence Determined</w:t>
      </w:r>
      <w:r w:rsidRPr="00B611A3">
        <w:rPr>
          <w:rFonts w:ascii="Book Antiqua" w:hAnsi="Book Antiqua"/>
          <w:sz w:val="18"/>
          <w:szCs w:val="18"/>
          <w:lang w:val="id-ID"/>
        </w:rPr>
        <w:t>, Loc. Cit, hlm. 18</w:t>
      </w:r>
    </w:p>
  </w:footnote>
  <w:footnote w:id="3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w:t>
      </w:r>
      <w:r w:rsidRPr="00B611A3">
        <w:rPr>
          <w:rFonts w:ascii="Book Antiqua" w:hAnsi="Book Antiqua"/>
          <w:sz w:val="18"/>
          <w:szCs w:val="18"/>
        </w:rPr>
        <w:t>L</w:t>
      </w:r>
      <w:r w:rsidRPr="00B611A3">
        <w:rPr>
          <w:rFonts w:ascii="Book Antiqua" w:hAnsi="Book Antiqua"/>
          <w:sz w:val="18"/>
          <w:szCs w:val="18"/>
          <w:lang w:val="id-ID"/>
        </w:rPr>
        <w:t>.</w:t>
      </w:r>
      <w:r w:rsidRPr="00B611A3">
        <w:rPr>
          <w:rFonts w:ascii="Book Antiqua" w:hAnsi="Book Antiqua"/>
          <w:sz w:val="18"/>
          <w:szCs w:val="18"/>
        </w:rPr>
        <w:t xml:space="preserve">A. Hart, </w:t>
      </w:r>
      <w:r w:rsidRPr="00B611A3">
        <w:rPr>
          <w:rFonts w:ascii="Book Antiqua" w:hAnsi="Book Antiqua"/>
          <w:i/>
          <w:sz w:val="18"/>
          <w:szCs w:val="18"/>
        </w:rPr>
        <w:t xml:space="preserve">The Concept of Law, </w:t>
      </w:r>
      <w:r w:rsidRPr="00B611A3">
        <w:rPr>
          <w:rFonts w:ascii="Book Antiqua" w:hAnsi="Book Antiqua"/>
          <w:i/>
          <w:sz w:val="18"/>
          <w:szCs w:val="18"/>
          <w:lang w:val="id-ID"/>
        </w:rPr>
        <w:t>Loc. Cit</w:t>
      </w:r>
      <w:r w:rsidRPr="00B611A3">
        <w:rPr>
          <w:rFonts w:ascii="Book Antiqua" w:hAnsi="Book Antiqua"/>
          <w:sz w:val="18"/>
          <w:szCs w:val="18"/>
          <w:lang w:val="id-ID"/>
        </w:rPr>
        <w:t>, hlm. 79-123.</w:t>
      </w:r>
    </w:p>
  </w:footnote>
  <w:footnote w:id="34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 xml:space="preserve">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1</w:t>
      </w:r>
    </w:p>
  </w:footnote>
  <w:footnote w:id="34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Thomas B. Nachbar</w:t>
      </w:r>
      <w:r w:rsidRPr="00B611A3">
        <w:rPr>
          <w:rFonts w:ascii="Book Antiqua" w:hAnsi="Book Antiqua"/>
          <w:sz w:val="18"/>
          <w:szCs w:val="18"/>
          <w:lang w:val="id-ID"/>
        </w:rPr>
        <w:t>, “The Rationality Of Rational Basis Review”, Virginia Law Review, Vol. 102, hlm. 1627-1628, 2016</w:t>
      </w:r>
    </w:p>
  </w:footnote>
  <w:footnote w:id="34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 xml:space="preserve">zani, </w:t>
      </w:r>
      <w:r w:rsidRPr="00B611A3">
        <w:rPr>
          <w:rFonts w:ascii="Book Antiqua" w:hAnsi="Book Antiqua"/>
          <w:i/>
          <w:sz w:val="18"/>
          <w:szCs w:val="18"/>
          <w:lang w:val="id-ID"/>
        </w:rPr>
        <w:t>Loc. Cit</w:t>
      </w:r>
      <w:r w:rsidRPr="00B611A3">
        <w:rPr>
          <w:rFonts w:ascii="Book Antiqua" w:hAnsi="Book Antiqua"/>
          <w:sz w:val="18"/>
          <w:szCs w:val="18"/>
          <w:lang w:val="id-ID"/>
        </w:rPr>
        <w:t>, hlm. 170-171</w:t>
      </w:r>
    </w:p>
  </w:footnote>
  <w:footnote w:id="34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Nietzsche, dalam Jujun Suriasumantri,</w:t>
      </w:r>
      <w:r w:rsidRPr="00B611A3">
        <w:rPr>
          <w:rFonts w:ascii="Book Antiqua" w:hAnsi="Book Antiqua"/>
          <w:i/>
          <w:sz w:val="18"/>
          <w:szCs w:val="18"/>
          <w:lang w:val="id-ID"/>
        </w:rPr>
        <w:t>Loc. Cit</w:t>
      </w:r>
      <w:r w:rsidRPr="00B611A3">
        <w:rPr>
          <w:rFonts w:ascii="Book Antiqua" w:hAnsi="Book Antiqua"/>
          <w:sz w:val="18"/>
          <w:szCs w:val="18"/>
          <w:lang w:val="id-ID"/>
        </w:rPr>
        <w:t>, hlm. 53</w:t>
      </w:r>
    </w:p>
  </w:footnote>
  <w:footnote w:id="34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Philip C. Bobbitt</w:t>
      </w:r>
      <w:r w:rsidRPr="00B611A3">
        <w:rPr>
          <w:rFonts w:ascii="Book Antiqua" w:hAnsi="Book Antiqua"/>
          <w:sz w:val="18"/>
          <w:szCs w:val="18"/>
          <w:lang w:val="id-ID"/>
        </w:rPr>
        <w:t>, “</w:t>
      </w:r>
      <w:r w:rsidRPr="00B611A3">
        <w:rPr>
          <w:rFonts w:ascii="Book Antiqua" w:hAnsi="Book Antiqua"/>
          <w:sz w:val="18"/>
          <w:szCs w:val="18"/>
        </w:rPr>
        <w:t>The Age of Consent</w:t>
      </w:r>
      <w:r w:rsidRPr="00B611A3">
        <w:rPr>
          <w:rFonts w:ascii="Book Antiqua" w:hAnsi="Book Antiqua"/>
          <w:sz w:val="18"/>
          <w:szCs w:val="18"/>
          <w:lang w:val="id-ID"/>
        </w:rPr>
        <w:t>”, The Yale Law Journal. 123, hlm. 2334&amp;2383, 2014</w:t>
      </w:r>
    </w:p>
  </w:footnote>
  <w:footnote w:id="34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165</w:t>
      </w:r>
    </w:p>
  </w:footnote>
  <w:footnote w:id="34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Q.S Muhammad ayat 19;  al-Nas ayat 5; Ali-Imran ayat 102; Baqarah ayat 147; an Nahl ayat 102; as Syu’ara ayat 192-194; al-Anfal ayat 29; al-An’am ayat 39; Al-A’raf. 172 dan al-Kahfi ayat 125, dan ayat-ayat lain dalam al-Quran yang banyak menjelasan hati nurani sebagai sarana penalaran manusia.</w:t>
      </w:r>
    </w:p>
  </w:footnote>
  <w:footnote w:id="34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204-207; Seyyed Hossein Nasr, </w:t>
      </w:r>
      <w:r w:rsidRPr="00B611A3">
        <w:rPr>
          <w:rFonts w:ascii="Book Antiqua" w:hAnsi="Book Antiqua"/>
          <w:i/>
          <w:sz w:val="18"/>
          <w:szCs w:val="18"/>
          <w:lang w:val="id-ID"/>
        </w:rPr>
        <w:t>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hlm. 65</w:t>
      </w:r>
    </w:p>
  </w:footnote>
  <w:footnote w:id="34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Eve Brensike Primus, “The Future Of Confession Law: Toward Rules For The Voluntariness Test”, Michigan Law Review, Vol. 114, hlm. 1-3, 2015</w:t>
      </w:r>
    </w:p>
  </w:footnote>
  <w:footnote w:id="34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Werner Heisenberg</w:t>
      </w:r>
      <w:r w:rsidRPr="00B611A3">
        <w:rPr>
          <w:rFonts w:ascii="Book Antiqua" w:hAnsi="Book Antiqua"/>
          <w:sz w:val="18"/>
          <w:szCs w:val="18"/>
          <w:lang w:val="id-ID"/>
        </w:rPr>
        <w:t xml:space="preserve"> dalam Fritjof Capra, </w:t>
      </w:r>
      <w:r w:rsidRPr="00B611A3">
        <w:rPr>
          <w:rFonts w:ascii="Book Antiqua" w:hAnsi="Book Antiqua"/>
          <w:i/>
          <w:sz w:val="18"/>
          <w:szCs w:val="18"/>
          <w:lang w:val="id-ID"/>
        </w:rPr>
        <w:t>Loc. Cit</w:t>
      </w:r>
      <w:r w:rsidRPr="00B611A3">
        <w:rPr>
          <w:rFonts w:ascii="Book Antiqua" w:hAnsi="Book Antiqua"/>
          <w:sz w:val="18"/>
          <w:szCs w:val="18"/>
          <w:lang w:val="id-ID"/>
        </w:rPr>
        <w:t>, hlm. 76-77</w:t>
      </w:r>
    </w:p>
  </w:footnote>
  <w:footnote w:id="35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Fritjof Capra,</w:t>
      </w:r>
      <w:r w:rsidRPr="00B611A3">
        <w:rPr>
          <w:rFonts w:ascii="Book Antiqua" w:hAnsi="Book Antiqua"/>
          <w:i/>
          <w:sz w:val="18"/>
          <w:szCs w:val="18"/>
          <w:lang w:val="id-ID"/>
        </w:rPr>
        <w:t>Loc. Cit</w:t>
      </w:r>
      <w:r w:rsidRPr="00B611A3">
        <w:rPr>
          <w:rFonts w:ascii="Book Antiqua" w:hAnsi="Book Antiqua"/>
          <w:i/>
          <w:sz w:val="18"/>
          <w:szCs w:val="18"/>
        </w:rPr>
        <w:t>,</w:t>
      </w:r>
      <w:r w:rsidRPr="00B611A3">
        <w:rPr>
          <w:rFonts w:ascii="Book Antiqua" w:hAnsi="Book Antiqua"/>
          <w:sz w:val="18"/>
          <w:szCs w:val="18"/>
        </w:rPr>
        <w:t xml:space="preserve"> hlm. </w:t>
      </w:r>
      <w:r w:rsidRPr="00B611A3">
        <w:rPr>
          <w:rFonts w:ascii="Book Antiqua" w:hAnsi="Book Antiqua"/>
          <w:sz w:val="18"/>
          <w:szCs w:val="18"/>
          <w:lang w:val="id-ID"/>
        </w:rPr>
        <w:t>91-92</w:t>
      </w:r>
    </w:p>
  </w:footnote>
  <w:footnote w:id="35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Khudzaifah Dimyati,</w:t>
      </w:r>
      <w:r w:rsidRPr="00B611A3">
        <w:rPr>
          <w:rFonts w:ascii="Book Antiqua" w:hAnsi="Book Antiqua"/>
          <w:i/>
          <w:sz w:val="18"/>
          <w:szCs w:val="18"/>
        </w:rPr>
        <w:t xml:space="preserve">Pemikiran Hukum, </w:t>
      </w:r>
      <w:r w:rsidRPr="00B611A3">
        <w:rPr>
          <w:rFonts w:ascii="Book Antiqua" w:hAnsi="Book Antiqua"/>
          <w:i/>
          <w:sz w:val="18"/>
          <w:szCs w:val="18"/>
          <w:lang w:val="id-ID"/>
        </w:rPr>
        <w:t>Loc. Cit</w:t>
      </w:r>
      <w:r w:rsidRPr="00B611A3">
        <w:rPr>
          <w:rFonts w:ascii="Book Antiqua" w:hAnsi="Book Antiqua"/>
          <w:sz w:val="18"/>
          <w:szCs w:val="18"/>
          <w:lang w:val="id-ID"/>
        </w:rPr>
        <w:t>, hlm. 27</w:t>
      </w:r>
    </w:p>
  </w:footnote>
  <w:footnote w:id="35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B80301" w:rsidRPr="00B611A3">
        <w:rPr>
          <w:rFonts w:ascii="Book Antiqua" w:hAnsi="Book Antiqua"/>
          <w:sz w:val="18"/>
          <w:szCs w:val="18"/>
          <w:lang w:val="id-ID"/>
        </w:rPr>
        <w:t xml:space="preserve"> </w:t>
      </w:r>
      <w:r w:rsidRPr="00B611A3">
        <w:rPr>
          <w:rFonts w:ascii="Book Antiqua" w:hAnsi="Book Antiqua"/>
          <w:sz w:val="18"/>
          <w:szCs w:val="18"/>
        </w:rPr>
        <w:t xml:space="preserve">Maslow </w:t>
      </w:r>
      <w:r w:rsidRPr="00B611A3">
        <w:rPr>
          <w:rFonts w:ascii="Book Antiqua" w:hAnsi="Book Antiqua"/>
          <w:sz w:val="18"/>
          <w:szCs w:val="18"/>
          <w:lang w:val="id-ID"/>
        </w:rPr>
        <w:t xml:space="preserve">dan Nietzschedalam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xml:space="preserve">, hlm. 53; Robert Frager, </w:t>
      </w:r>
      <w:r w:rsidRPr="00B611A3">
        <w:rPr>
          <w:rFonts w:ascii="Book Antiqua" w:hAnsi="Book Antiqua"/>
          <w:i/>
          <w:sz w:val="18"/>
          <w:szCs w:val="18"/>
          <w:lang w:val="id-ID"/>
        </w:rPr>
        <w:t>Hati, Diri, dan Jiwa: Psikologi Sufi untuk Transformasi</w:t>
      </w:r>
      <w:r w:rsidRPr="00B611A3">
        <w:rPr>
          <w:rFonts w:ascii="Book Antiqua" w:hAnsi="Book Antiqua"/>
          <w:sz w:val="18"/>
          <w:szCs w:val="18"/>
          <w:lang w:val="id-ID"/>
        </w:rPr>
        <w:t>, PT. Serambi Ilmu Semesta, Jakart: 2003, hlm. 56-57</w:t>
      </w:r>
    </w:p>
  </w:footnote>
  <w:footnote w:id="35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 H. 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363</w:t>
      </w:r>
    </w:p>
  </w:footnote>
  <w:footnote w:id="354">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FF5BD1"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Jalaluddin dan Usman Said,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31</w:t>
      </w:r>
    </w:p>
  </w:footnote>
  <w:footnote w:id="35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Mathias Reimann,</w:t>
      </w:r>
      <w:r w:rsidRPr="00B611A3">
        <w:rPr>
          <w:rFonts w:ascii="Book Antiqua" w:hAnsi="Book Antiqua"/>
          <w:i/>
          <w:sz w:val="18"/>
          <w:szCs w:val="18"/>
          <w:lang w:val="id-ID"/>
        </w:rPr>
        <w:t xml:space="preserve"> The Historical School Against Codification: Savigny, Carter and the Defeat of the New York Civil Code, Loc. Cit, </w:t>
      </w:r>
      <w:r w:rsidRPr="00B611A3">
        <w:rPr>
          <w:rFonts w:ascii="Book Antiqua" w:hAnsi="Book Antiqua"/>
          <w:sz w:val="18"/>
          <w:szCs w:val="18"/>
          <w:lang w:val="id-ID"/>
        </w:rPr>
        <w:t>hlm. 95-97, dalam Atip Latipulhayat,</w:t>
      </w:r>
      <w:r w:rsidRPr="00B611A3">
        <w:rPr>
          <w:rFonts w:ascii="Book Antiqua" w:hAnsi="Book Antiqua"/>
          <w:i/>
          <w:sz w:val="18"/>
          <w:szCs w:val="18"/>
          <w:lang w:val="id-ID"/>
        </w:rPr>
        <w:t xml:space="preserve">Friedrich Karl Von Savigny, Loc. Cit, </w:t>
      </w:r>
      <w:r w:rsidRPr="00B611A3">
        <w:rPr>
          <w:rFonts w:ascii="Book Antiqua" w:hAnsi="Book Antiqua"/>
          <w:sz w:val="18"/>
          <w:szCs w:val="18"/>
          <w:lang w:val="id-ID"/>
        </w:rPr>
        <w:t>hlm. 199</w:t>
      </w:r>
    </w:p>
  </w:footnote>
  <w:footnote w:id="356">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Bertrand Russel</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hlm. 206</w:t>
      </w:r>
    </w:p>
  </w:footnote>
  <w:footnote w:id="357">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Ibn Rusyd,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127</w:t>
      </w:r>
    </w:p>
  </w:footnote>
  <w:footnote w:id="35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Ibid, hlm. 197</w:t>
      </w:r>
    </w:p>
  </w:footnote>
  <w:footnote w:id="359">
    <w:p w:rsidR="004E75CF" w:rsidRPr="00B611A3" w:rsidRDefault="004E75CF" w:rsidP="00B611A3">
      <w:pPr>
        <w:pStyle w:val="FootnoteText"/>
        <w:jc w:val="both"/>
        <w:rPr>
          <w:rFonts w:ascii="Book Antiqua" w:hAnsi="Book Antiqua"/>
          <w:sz w:val="18"/>
          <w:szCs w:val="18"/>
        </w:rPr>
      </w:pPr>
      <w:r w:rsidRPr="00B611A3">
        <w:rPr>
          <w:rStyle w:val="FootnoteReference"/>
          <w:rFonts w:ascii="Book Antiqua" w:hAnsi="Book Antiqua"/>
          <w:sz w:val="18"/>
          <w:szCs w:val="18"/>
        </w:rPr>
        <w:footnoteRef/>
      </w:r>
      <w:r w:rsidRPr="00B611A3">
        <w:rPr>
          <w:rFonts w:ascii="Book Antiqua" w:hAnsi="Book Antiqua"/>
          <w:sz w:val="18"/>
          <w:szCs w:val="18"/>
        </w:rPr>
        <w:t xml:space="preserve"> Van Peurson,</w:t>
      </w:r>
      <w:r w:rsidRPr="00B611A3">
        <w:rPr>
          <w:rFonts w:ascii="Book Antiqua" w:hAnsi="Book Antiqua"/>
          <w:i/>
          <w:sz w:val="18"/>
          <w:szCs w:val="18"/>
        </w:rPr>
        <w:t>De Ovbouw van de Wetenschap een inleiding in de Wetenschapsleer</w:t>
      </w:r>
      <w:r w:rsidRPr="00B611A3">
        <w:rPr>
          <w:rFonts w:ascii="Book Antiqua" w:hAnsi="Book Antiqua"/>
          <w:i/>
          <w:sz w:val="18"/>
          <w:szCs w:val="18"/>
          <w:lang w:val="id-ID"/>
        </w:rPr>
        <w:t>, Loc. Cir,</w:t>
      </w:r>
      <w:r w:rsidRPr="00B611A3">
        <w:rPr>
          <w:rFonts w:ascii="Book Antiqua" w:hAnsi="Book Antiqua"/>
          <w:sz w:val="18"/>
          <w:szCs w:val="18"/>
        </w:rPr>
        <w:t>hlm. 82</w:t>
      </w:r>
    </w:p>
  </w:footnote>
  <w:footnote w:id="36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lang w:val="id-ID"/>
        </w:rPr>
        <w:t xml:space="preserve">Alf Ross, </w:t>
      </w:r>
      <w:r w:rsidRPr="00B611A3">
        <w:rPr>
          <w:rFonts w:ascii="Book Antiqua" w:hAnsi="Book Antiqua"/>
          <w:i/>
          <w:sz w:val="18"/>
          <w:szCs w:val="18"/>
          <w:lang w:val="id-ID"/>
        </w:rPr>
        <w:t xml:space="preserve">On Law and Justice, Loc. Cit, </w:t>
      </w:r>
      <w:r w:rsidRPr="00B611A3">
        <w:rPr>
          <w:rFonts w:ascii="Book Antiqua" w:hAnsi="Book Antiqua"/>
          <w:sz w:val="18"/>
          <w:szCs w:val="18"/>
          <w:lang w:val="id-ID"/>
        </w:rPr>
        <w:t xml:space="preserve">hlm. 38, dalam Atip Latipulhayat, </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202</w:t>
      </w:r>
    </w:p>
  </w:footnote>
  <w:footnote w:id="36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 H. Titus,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363 </w:t>
      </w:r>
    </w:p>
  </w:footnote>
  <w:footnote w:id="36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Friedrich Karl Von Savigny, Op. Cit</w:t>
      </w:r>
      <w:r w:rsidRPr="00B611A3">
        <w:rPr>
          <w:rFonts w:ascii="Book Antiqua" w:hAnsi="Book Antiqua"/>
          <w:sz w:val="18"/>
          <w:szCs w:val="18"/>
          <w:lang w:val="id-ID"/>
        </w:rPr>
        <w:t>, hlm. 202</w:t>
      </w:r>
    </w:p>
  </w:footnote>
  <w:footnote w:id="36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Pr="00B611A3">
        <w:rPr>
          <w:rFonts w:ascii="Book Antiqua" w:hAnsi="Book Antiqua" w:cs="Times New Roman"/>
          <w:sz w:val="18"/>
          <w:szCs w:val="18"/>
        </w:rPr>
        <w:t xml:space="preserve"> Harold H. Titus,</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363</w:t>
      </w:r>
    </w:p>
  </w:footnote>
  <w:footnote w:id="36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Rene Descartes </w:t>
      </w:r>
      <w:r w:rsidRPr="00B611A3">
        <w:rPr>
          <w:rFonts w:ascii="Book Antiqua" w:hAnsi="Book Antiqua"/>
          <w:sz w:val="18"/>
          <w:szCs w:val="18"/>
          <w:lang w:val="id-ID"/>
        </w:rPr>
        <w:t xml:space="preserve"> dalam Jujun Suriasumantri, </w:t>
      </w:r>
      <w:r w:rsidRPr="00B611A3">
        <w:rPr>
          <w:rFonts w:ascii="Book Antiqua" w:hAnsi="Book Antiqua"/>
          <w:i/>
          <w:sz w:val="18"/>
          <w:szCs w:val="18"/>
          <w:lang w:val="id-ID"/>
        </w:rPr>
        <w:t>LOc. Cit</w:t>
      </w:r>
      <w:r w:rsidRPr="00B611A3">
        <w:rPr>
          <w:rFonts w:ascii="Book Antiqua" w:hAnsi="Book Antiqua"/>
          <w:sz w:val="18"/>
          <w:szCs w:val="18"/>
          <w:lang w:val="id-ID"/>
        </w:rPr>
        <w:t>, hlm. 50-51</w:t>
      </w:r>
    </w:p>
  </w:footnote>
  <w:footnote w:id="36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Ibn Rusyd,</w:t>
      </w:r>
      <w:r w:rsidRPr="00B611A3">
        <w:rPr>
          <w:rFonts w:ascii="Book Antiqua" w:hAnsi="Book Antiqua"/>
          <w:i/>
          <w:sz w:val="18"/>
          <w:szCs w:val="18"/>
        </w:rPr>
        <w:t>“Al-Kasyf `an Manâhij al-Adillah fî `Aqaid al-Millah</w:t>
      </w:r>
      <w:r w:rsidRPr="00B611A3">
        <w:rPr>
          <w:rFonts w:ascii="Book Antiqua" w:hAnsi="Book Antiqua"/>
          <w:i/>
          <w:sz w:val="18"/>
          <w:szCs w:val="18"/>
          <w:lang w:val="id-ID"/>
        </w:rPr>
        <w:t>,</w:t>
      </w:r>
      <w:r w:rsidRPr="00B611A3">
        <w:rPr>
          <w:rFonts w:ascii="Book Antiqua" w:hAnsi="Book Antiqua"/>
          <w:i/>
          <w:sz w:val="18"/>
          <w:szCs w:val="18"/>
        </w:rPr>
        <w:t>”</w:t>
      </w:r>
      <w:r w:rsidRPr="00B611A3">
        <w:rPr>
          <w:rFonts w:ascii="Book Antiqua" w:hAnsi="Book Antiqua"/>
          <w:i/>
          <w:sz w:val="18"/>
          <w:szCs w:val="18"/>
          <w:lang w:val="id-ID"/>
        </w:rPr>
        <w:t xml:space="preserve"> Loc. Cit, </w:t>
      </w:r>
      <w:r w:rsidRPr="00B611A3">
        <w:rPr>
          <w:rFonts w:ascii="Book Antiqua" w:hAnsi="Book Antiqua"/>
          <w:sz w:val="18"/>
          <w:szCs w:val="18"/>
          <w:lang w:val="id-ID"/>
        </w:rPr>
        <w:t>hlm.</w:t>
      </w:r>
      <w:r w:rsidRPr="00B611A3">
        <w:rPr>
          <w:rFonts w:ascii="Book Antiqua" w:hAnsi="Book Antiqua"/>
          <w:sz w:val="18"/>
          <w:szCs w:val="18"/>
        </w:rPr>
        <w:t>127</w:t>
      </w:r>
    </w:p>
  </w:footnote>
  <w:footnote w:id="36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 xml:space="preserve">Hans 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 1</w:t>
      </w:r>
    </w:p>
  </w:footnote>
  <w:footnote w:id="36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J</w:t>
      </w:r>
      <w:r w:rsidRPr="00B611A3">
        <w:rPr>
          <w:rFonts w:ascii="Book Antiqua" w:hAnsi="Book Antiqua"/>
          <w:sz w:val="18"/>
          <w:szCs w:val="18"/>
          <w:lang w:val="id-ID"/>
        </w:rPr>
        <w:t xml:space="preserve">ohn </w:t>
      </w:r>
      <w:r w:rsidRPr="00B611A3">
        <w:rPr>
          <w:rFonts w:ascii="Book Antiqua" w:hAnsi="Book Antiqua"/>
          <w:sz w:val="18"/>
          <w:szCs w:val="18"/>
        </w:rPr>
        <w:t>Austin,</w:t>
      </w:r>
      <w:r w:rsidRPr="00B611A3">
        <w:rPr>
          <w:rFonts w:ascii="Book Antiqua" w:hAnsi="Book Antiqua"/>
          <w:i/>
          <w:sz w:val="18"/>
          <w:szCs w:val="18"/>
        </w:rPr>
        <w:t>TheProvince of Jurisprudence Determined</w:t>
      </w:r>
      <w:r w:rsidRPr="00B611A3">
        <w:rPr>
          <w:rFonts w:ascii="Book Antiqua" w:hAnsi="Book Antiqua"/>
          <w:i/>
          <w:sz w:val="18"/>
          <w:szCs w:val="18"/>
          <w:lang w:val="id-ID"/>
        </w:rPr>
        <w:t xml:space="preserve">,Loc. Cit, </w:t>
      </w:r>
      <w:r w:rsidRPr="00B611A3">
        <w:rPr>
          <w:rFonts w:ascii="Book Antiqua" w:hAnsi="Book Antiqua"/>
          <w:sz w:val="18"/>
          <w:szCs w:val="18"/>
          <w:lang w:val="id-ID"/>
        </w:rPr>
        <w:t>hlm. 18</w:t>
      </w:r>
    </w:p>
  </w:footnote>
  <w:footnote w:id="36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Bertrand Russel</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206</w:t>
      </w:r>
    </w:p>
  </w:footnote>
  <w:footnote w:id="36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Al-Jabiri, </w:t>
      </w:r>
      <w:r w:rsidRPr="00B611A3">
        <w:rPr>
          <w:rFonts w:ascii="Book Antiqua" w:hAnsi="Book Antiqua"/>
          <w:i/>
          <w:sz w:val="18"/>
          <w:szCs w:val="18"/>
          <w:lang w:val="id-ID"/>
        </w:rPr>
        <w:t>Bunyah al-Aql al-Arabi,Ibid</w:t>
      </w:r>
      <w:r w:rsidRPr="00B611A3">
        <w:rPr>
          <w:rFonts w:ascii="Book Antiqua" w:hAnsi="Book Antiqua"/>
          <w:sz w:val="18"/>
          <w:szCs w:val="18"/>
          <w:lang w:val="id-ID"/>
        </w:rPr>
        <w:t xml:space="preserve">,hlm. 384-385. </w:t>
      </w:r>
    </w:p>
  </w:footnote>
  <w:footnote w:id="37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J.W. Harris,</w:t>
      </w:r>
      <w:r w:rsidRPr="00B611A3">
        <w:rPr>
          <w:rFonts w:ascii="Book Antiqua" w:hAnsi="Book Antiqua"/>
          <w:i/>
          <w:sz w:val="18"/>
          <w:szCs w:val="18"/>
        </w:rPr>
        <w:t>Law and Legal Science: An Inquiry into the Concepts Legal Rule and Legal System</w:t>
      </w:r>
      <w:r w:rsidRPr="00B611A3">
        <w:rPr>
          <w:rFonts w:ascii="Book Antiqua" w:hAnsi="Book Antiqua"/>
          <w:sz w:val="18"/>
          <w:szCs w:val="18"/>
          <w:lang w:val="id-ID"/>
        </w:rPr>
        <w:t xml:space="preserve">, </w:t>
      </w:r>
      <w:r w:rsidRPr="00B611A3">
        <w:rPr>
          <w:rFonts w:ascii="Book Antiqua" w:hAnsi="Book Antiqua"/>
          <w:sz w:val="18"/>
          <w:szCs w:val="18"/>
        </w:rPr>
        <w:t>Clarendon Press, Oxford</w:t>
      </w:r>
      <w:r w:rsidRPr="00B611A3">
        <w:rPr>
          <w:rFonts w:ascii="Book Antiqua" w:hAnsi="Book Antiqua"/>
          <w:sz w:val="18"/>
          <w:szCs w:val="18"/>
          <w:lang w:val="id-ID"/>
        </w:rPr>
        <w:t>: 1982, hlm. 24</w:t>
      </w:r>
    </w:p>
  </w:footnote>
  <w:footnote w:id="37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FF5BD1" w:rsidRPr="00B611A3">
        <w:rPr>
          <w:rFonts w:ascii="Book Antiqua" w:hAnsi="Book Antiqua"/>
          <w:sz w:val="18"/>
          <w:szCs w:val="18"/>
          <w:lang w:val="id-ID"/>
        </w:rPr>
        <w:t xml:space="preserve"> </w:t>
      </w:r>
      <w:r w:rsidRPr="00B611A3">
        <w:rPr>
          <w:rFonts w:ascii="Book Antiqua" w:hAnsi="Book Antiqua"/>
          <w:sz w:val="18"/>
          <w:szCs w:val="18"/>
        </w:rPr>
        <w:t>Ludwing von Wiittgenstein</w:t>
      </w:r>
      <w:r w:rsidRPr="00B611A3">
        <w:rPr>
          <w:rFonts w:ascii="Book Antiqua" w:hAnsi="Book Antiqua"/>
          <w:sz w:val="18"/>
          <w:szCs w:val="18"/>
          <w:lang w:val="id-ID"/>
        </w:rPr>
        <w:t xml:space="preserve"> dalam </w:t>
      </w:r>
      <w:r w:rsidRPr="00B611A3">
        <w:rPr>
          <w:rFonts w:ascii="Book Antiqua" w:hAnsi="Book Antiqua"/>
          <w:sz w:val="18"/>
          <w:szCs w:val="18"/>
        </w:rPr>
        <w:t>Jujun Suriasumantri,</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48-49</w:t>
      </w:r>
    </w:p>
  </w:footnote>
  <w:footnote w:id="37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i/>
          <w:sz w:val="18"/>
          <w:szCs w:val="18"/>
        </w:rPr>
        <w:t>The Concept of Law</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302</w:t>
      </w:r>
    </w:p>
  </w:footnote>
  <w:footnote w:id="37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W. Friedman,</w:t>
      </w:r>
      <w:r w:rsidRPr="00B611A3">
        <w:rPr>
          <w:rFonts w:ascii="Book Antiqua" w:hAnsi="Book Antiqua"/>
          <w:i/>
          <w:sz w:val="18"/>
          <w:szCs w:val="18"/>
          <w:lang w:val="id-ID"/>
        </w:rPr>
        <w:t>Legal Theory,</w:t>
      </w:r>
      <w:r w:rsidRPr="00B611A3">
        <w:rPr>
          <w:rFonts w:ascii="Book Antiqua" w:hAnsi="Book Antiqua"/>
          <w:sz w:val="18"/>
          <w:szCs w:val="18"/>
          <w:lang w:val="id-ID"/>
        </w:rPr>
        <w:t xml:space="preserve"> M. Arifin,</w:t>
      </w:r>
      <w:r w:rsidRPr="00B611A3">
        <w:rPr>
          <w:rFonts w:ascii="Book Antiqua" w:hAnsi="Book Antiqua"/>
          <w:i/>
          <w:sz w:val="18"/>
          <w:szCs w:val="18"/>
          <w:lang w:val="id-ID"/>
        </w:rPr>
        <w:t>Loc. Cit</w:t>
      </w:r>
      <w:r w:rsidRPr="00B611A3">
        <w:rPr>
          <w:rFonts w:ascii="Book Antiqua" w:hAnsi="Book Antiqua"/>
          <w:sz w:val="18"/>
          <w:szCs w:val="18"/>
          <w:lang w:val="id-ID"/>
        </w:rPr>
        <w:t>, hlm. 170</w:t>
      </w:r>
    </w:p>
  </w:footnote>
  <w:footnote w:id="37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H</w:t>
      </w:r>
      <w:r w:rsidRPr="00B611A3">
        <w:rPr>
          <w:rFonts w:ascii="Book Antiqua" w:hAnsi="Book Antiqua"/>
          <w:sz w:val="18"/>
          <w:szCs w:val="18"/>
          <w:lang w:val="id-ID"/>
        </w:rPr>
        <w:t xml:space="preserve">ans </w:t>
      </w:r>
      <w:r w:rsidRPr="00B611A3">
        <w:rPr>
          <w:rFonts w:ascii="Book Antiqua" w:hAnsi="Book Antiqua"/>
          <w:sz w:val="18"/>
          <w:szCs w:val="18"/>
        </w:rPr>
        <w:t xml:space="preserve">Kelsen, </w:t>
      </w:r>
      <w:r w:rsidRPr="00B611A3">
        <w:rPr>
          <w:rFonts w:ascii="Book Antiqua" w:hAnsi="Book Antiqua"/>
          <w:i/>
          <w:sz w:val="18"/>
          <w:szCs w:val="18"/>
        </w:rPr>
        <w:t xml:space="preserve">The Pure Theory of Law,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348</w:t>
      </w:r>
      <w:r w:rsidRPr="00B611A3">
        <w:rPr>
          <w:rFonts w:ascii="Book Antiqua" w:hAnsi="Book Antiqua"/>
          <w:sz w:val="18"/>
          <w:szCs w:val="18"/>
          <w:lang w:val="id-ID"/>
        </w:rPr>
        <w:t>-</w:t>
      </w:r>
      <w:r w:rsidRPr="00B611A3">
        <w:rPr>
          <w:rFonts w:ascii="Book Antiqua" w:hAnsi="Book Antiqua"/>
          <w:sz w:val="18"/>
          <w:szCs w:val="18"/>
        </w:rPr>
        <w:t>394</w:t>
      </w:r>
    </w:p>
  </w:footnote>
  <w:footnote w:id="37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Hendry Bergson </w:t>
      </w:r>
      <w:r w:rsidRPr="00B611A3">
        <w:rPr>
          <w:rFonts w:ascii="Book Antiqua" w:hAnsi="Book Antiqua"/>
          <w:sz w:val="18"/>
          <w:szCs w:val="18"/>
          <w:lang w:val="id-ID"/>
        </w:rPr>
        <w:t>dalam Jujun Suriasumantri, Op</w:t>
      </w:r>
      <w:r w:rsidRPr="00B611A3">
        <w:rPr>
          <w:rFonts w:ascii="Book Antiqua" w:hAnsi="Book Antiqua"/>
          <w:i/>
          <w:sz w:val="18"/>
          <w:szCs w:val="18"/>
          <w:lang w:val="id-ID"/>
        </w:rPr>
        <w:t>. Cit</w:t>
      </w:r>
      <w:r w:rsidRPr="00B611A3">
        <w:rPr>
          <w:rFonts w:ascii="Book Antiqua" w:hAnsi="Book Antiqua"/>
          <w:sz w:val="18"/>
          <w:szCs w:val="18"/>
          <w:lang w:val="id-ID"/>
        </w:rPr>
        <w:t>, hlm. 53</w:t>
      </w:r>
    </w:p>
  </w:footnote>
  <w:footnote w:id="37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Stanley M. Honer dan Thomas C. Hunt, </w:t>
      </w:r>
      <w:r w:rsidRPr="00B611A3">
        <w:rPr>
          <w:rFonts w:ascii="Book Antiqua" w:hAnsi="Book Antiqua"/>
          <w:i/>
          <w:sz w:val="18"/>
          <w:szCs w:val="18"/>
          <w:lang w:val="id-ID"/>
        </w:rPr>
        <w:t xml:space="preserve">Invitation to Philosophy, Loc. Cit, </w:t>
      </w:r>
      <w:r w:rsidRPr="00B611A3">
        <w:rPr>
          <w:rFonts w:ascii="Book Antiqua" w:hAnsi="Book Antiqua"/>
          <w:sz w:val="18"/>
          <w:szCs w:val="18"/>
          <w:lang w:val="id-ID"/>
        </w:rPr>
        <w:t>hlm. 72, dalam Jujun Suriasumantri, hlm. 53</w:t>
      </w:r>
    </w:p>
  </w:footnote>
  <w:footnote w:id="37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George F. Kneller, </w:t>
      </w:r>
      <w:r w:rsidRPr="00B611A3">
        <w:rPr>
          <w:rFonts w:ascii="Book Antiqua" w:hAnsi="Book Antiqua"/>
          <w:i/>
          <w:sz w:val="18"/>
          <w:szCs w:val="18"/>
          <w:lang w:val="id-ID"/>
        </w:rPr>
        <w:t>Introduktion to the Philosophy of Education</w:t>
      </w:r>
      <w:r w:rsidRPr="00B611A3">
        <w:rPr>
          <w:rFonts w:ascii="Book Antiqua" w:hAnsi="Book Antiqua"/>
          <w:sz w:val="18"/>
          <w:szCs w:val="18"/>
          <w:lang w:val="id-ID"/>
        </w:rPr>
        <w:t xml:space="preserve">, John Wiley, New York: 1968, hlm. 10, dalam Jujun Suriasumantri, hlm. 53 </w:t>
      </w:r>
    </w:p>
  </w:footnote>
  <w:footnote w:id="37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w:t>
      </w:r>
      <w:r w:rsidRPr="00B611A3">
        <w:rPr>
          <w:rFonts w:ascii="Book Antiqua" w:hAnsi="Book Antiqua"/>
          <w:i/>
          <w:sz w:val="18"/>
          <w:szCs w:val="18"/>
          <w:lang w:val="id-ID"/>
        </w:rPr>
        <w:t>Loc. Cit</w:t>
      </w:r>
      <w:r w:rsidRPr="00B611A3">
        <w:rPr>
          <w:rFonts w:ascii="Book Antiqua" w:hAnsi="Book Antiqua"/>
          <w:sz w:val="18"/>
          <w:szCs w:val="18"/>
          <w:lang w:val="id-ID"/>
        </w:rPr>
        <w:t xml:space="preserve">, hlm. 204-207; Seyyed Hossein Nasr, </w:t>
      </w:r>
      <w:r w:rsidRPr="00B611A3">
        <w:rPr>
          <w:rFonts w:ascii="Book Antiqua" w:hAnsi="Book Antiqua"/>
          <w:i/>
          <w:sz w:val="18"/>
          <w:szCs w:val="18"/>
          <w:lang w:val="id-ID"/>
        </w:rPr>
        <w:t>Loc. Cit</w:t>
      </w:r>
      <w:r w:rsidRPr="00B611A3">
        <w:rPr>
          <w:rFonts w:ascii="Book Antiqua" w:hAnsi="Book Antiqua"/>
          <w:sz w:val="18"/>
          <w:szCs w:val="18"/>
          <w:lang w:val="id-ID"/>
        </w:rPr>
        <w:t xml:space="preserve">, hlm. 75; Mehdi Ha’iri Yazdi, </w:t>
      </w:r>
      <w:r w:rsidRPr="00B611A3">
        <w:rPr>
          <w:rFonts w:ascii="Book Antiqua" w:hAnsi="Book Antiqua"/>
          <w:i/>
          <w:sz w:val="18"/>
          <w:szCs w:val="18"/>
          <w:lang w:val="id-ID"/>
        </w:rPr>
        <w:t>Loc. Cit</w:t>
      </w:r>
      <w:r w:rsidRPr="00B611A3">
        <w:rPr>
          <w:rFonts w:ascii="Book Antiqua" w:hAnsi="Book Antiqua"/>
          <w:sz w:val="18"/>
          <w:szCs w:val="18"/>
          <w:lang w:val="id-ID"/>
        </w:rPr>
        <w:t>, hlm. 65</w:t>
      </w:r>
    </w:p>
  </w:footnote>
  <w:footnote w:id="379">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Al-Ghazali, </w:t>
      </w:r>
      <w:r w:rsidRPr="00B611A3">
        <w:rPr>
          <w:rFonts w:ascii="Book Antiqua" w:hAnsi="Book Antiqua"/>
          <w:i/>
          <w:sz w:val="18"/>
          <w:szCs w:val="18"/>
          <w:lang w:val="id-ID"/>
        </w:rPr>
        <w:t xml:space="preserve">Mutiara Ihya Ulumuddin, Loc. Cit, </w:t>
      </w:r>
      <w:r w:rsidRPr="00B611A3">
        <w:rPr>
          <w:rFonts w:ascii="Book Antiqua" w:hAnsi="Book Antiqua"/>
          <w:sz w:val="18"/>
          <w:szCs w:val="18"/>
        </w:rPr>
        <w:t>h</w:t>
      </w:r>
      <w:r w:rsidRPr="00B611A3">
        <w:rPr>
          <w:rFonts w:ascii="Book Antiqua" w:hAnsi="Book Antiqua"/>
          <w:sz w:val="18"/>
          <w:szCs w:val="18"/>
          <w:lang w:val="id-ID"/>
        </w:rPr>
        <w:t>lm. 118-</w:t>
      </w:r>
      <w:r w:rsidRPr="00B611A3">
        <w:rPr>
          <w:rFonts w:ascii="Book Antiqua" w:hAnsi="Book Antiqua"/>
          <w:sz w:val="18"/>
          <w:szCs w:val="18"/>
        </w:rPr>
        <w:t>119</w:t>
      </w:r>
    </w:p>
  </w:footnote>
  <w:footnote w:id="380">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A</w:t>
      </w:r>
      <w:r w:rsidRPr="00B611A3">
        <w:rPr>
          <w:rFonts w:ascii="Book Antiqua" w:hAnsi="Book Antiqua"/>
          <w:sz w:val="18"/>
          <w:szCs w:val="18"/>
        </w:rPr>
        <w:t>l-Ta</w:t>
      </w:r>
      <w:r w:rsidRPr="00B611A3">
        <w:rPr>
          <w:rFonts w:ascii="Book Antiqua" w:hAnsi="Book Antiqua"/>
          <w:sz w:val="18"/>
          <w:szCs w:val="18"/>
          <w:lang w:val="id-ID"/>
        </w:rPr>
        <w:t>fta</w:t>
      </w:r>
      <w:r w:rsidRPr="00B611A3">
        <w:rPr>
          <w:rFonts w:ascii="Book Antiqua" w:hAnsi="Book Antiqua"/>
          <w:sz w:val="18"/>
          <w:szCs w:val="18"/>
        </w:rPr>
        <w:t>zani, Abu al-Wafa 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170-171</w:t>
      </w:r>
    </w:p>
  </w:footnote>
  <w:footnote w:id="381">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lang w:val="id-ID"/>
        </w:rPr>
        <w:t xml:space="preserve">Suhrawardi dalam khudori Soleh, Loc. Cit, hlm. 204-207;  Seyyed Hossein Nasr, </w:t>
      </w:r>
      <w:r w:rsidRPr="00B611A3">
        <w:rPr>
          <w:rFonts w:ascii="Book Antiqua" w:hAnsi="Book Antiqua"/>
          <w:i/>
          <w:sz w:val="18"/>
          <w:szCs w:val="18"/>
          <w:lang w:val="id-ID"/>
        </w:rPr>
        <w:t>Intelektual Islam Teologi, Filsafat dan Gnosis Loc. Cit,</w:t>
      </w:r>
      <w:r w:rsidRPr="00B611A3">
        <w:rPr>
          <w:rFonts w:ascii="Book Antiqua" w:hAnsi="Book Antiqua"/>
          <w:sz w:val="18"/>
          <w:szCs w:val="18"/>
          <w:lang w:val="id-ID"/>
        </w:rPr>
        <w:t xml:space="preserve">75; Mehdi Ha’iri Yazdi, </w:t>
      </w:r>
      <w:r w:rsidRPr="00B611A3">
        <w:rPr>
          <w:rFonts w:ascii="Book Antiqua" w:hAnsi="Book Antiqua"/>
          <w:i/>
          <w:sz w:val="18"/>
          <w:szCs w:val="18"/>
          <w:lang w:val="id-ID"/>
        </w:rPr>
        <w:t xml:space="preserve">Loc. Cit, </w:t>
      </w:r>
      <w:r w:rsidRPr="00B611A3">
        <w:rPr>
          <w:rFonts w:ascii="Book Antiqua" w:hAnsi="Book Antiqua"/>
          <w:sz w:val="18"/>
          <w:szCs w:val="18"/>
          <w:lang w:val="id-ID"/>
        </w:rPr>
        <w:t>hlm. 65</w:t>
      </w:r>
    </w:p>
  </w:footnote>
  <w:footnote w:id="38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J.W Harris </w:t>
      </w:r>
      <w:r w:rsidRPr="00B611A3">
        <w:rPr>
          <w:rFonts w:ascii="Book Antiqua" w:hAnsi="Book Antiqua"/>
          <w:sz w:val="18"/>
          <w:szCs w:val="18"/>
          <w:lang w:val="id-ID"/>
        </w:rPr>
        <w:t xml:space="preserve"> dalam</w:t>
      </w:r>
      <w:r w:rsidRPr="00B611A3">
        <w:rPr>
          <w:rFonts w:ascii="Book Antiqua" w:hAnsi="Book Antiqua"/>
          <w:sz w:val="18"/>
          <w:szCs w:val="18"/>
        </w:rPr>
        <w:t>Khudzaifah Dimyati,</w:t>
      </w:r>
      <w:r w:rsidRPr="00B611A3">
        <w:rPr>
          <w:rFonts w:ascii="Book Antiqua" w:hAnsi="Book Antiqua"/>
          <w:i/>
          <w:sz w:val="18"/>
          <w:szCs w:val="18"/>
          <w:lang w:val="id-ID"/>
        </w:rPr>
        <w:t xml:space="preserve">Pemikiran Hukum, Loc. Cit, </w:t>
      </w:r>
      <w:r w:rsidRPr="00B611A3">
        <w:rPr>
          <w:rFonts w:ascii="Book Antiqua" w:hAnsi="Book Antiqua"/>
          <w:sz w:val="18"/>
          <w:szCs w:val="18"/>
          <w:lang w:val="id-ID"/>
        </w:rPr>
        <w:t>hlm. 27</w:t>
      </w:r>
    </w:p>
  </w:footnote>
  <w:footnote w:id="38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Toby J. Heytens</w:t>
      </w:r>
      <w:r w:rsidRPr="00B611A3">
        <w:rPr>
          <w:rFonts w:ascii="Book Antiqua" w:hAnsi="Book Antiqua"/>
          <w:sz w:val="18"/>
          <w:szCs w:val="18"/>
          <w:lang w:val="id-ID"/>
        </w:rPr>
        <w:t>, “The Framework(S) Of Legal Change”, Cornell Law Review, Vol. 97, hlm. 595, 2012</w:t>
      </w:r>
    </w:p>
  </w:footnote>
  <w:footnote w:id="38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HaroldTitus,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363</w:t>
      </w:r>
    </w:p>
  </w:footnote>
  <w:footnote w:id="38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214B3" w:rsidRPr="00B611A3">
        <w:rPr>
          <w:rFonts w:ascii="Book Antiqua" w:hAnsi="Book Antiqua"/>
          <w:sz w:val="18"/>
          <w:szCs w:val="18"/>
          <w:lang w:val="id-ID"/>
        </w:rPr>
        <w:t xml:space="preserve"> </w:t>
      </w:r>
      <w:r w:rsidRPr="00B611A3">
        <w:rPr>
          <w:rFonts w:ascii="Book Antiqua" w:hAnsi="Book Antiqua"/>
          <w:sz w:val="18"/>
          <w:szCs w:val="18"/>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38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Mathias Reimann,</w:t>
      </w:r>
      <w:r w:rsidRPr="00B611A3">
        <w:rPr>
          <w:rFonts w:ascii="Book Antiqua" w:hAnsi="Book Antiqua"/>
          <w:i/>
          <w:sz w:val="18"/>
          <w:szCs w:val="18"/>
          <w:lang w:val="id-ID"/>
        </w:rPr>
        <w:t xml:space="preserve"> The Historical School Against Codification: Savigny, Carter and the Defeat of the New York Civil Code, Loc. Cit, </w:t>
      </w:r>
      <w:r w:rsidRPr="00B611A3">
        <w:rPr>
          <w:rFonts w:ascii="Book Antiqua" w:hAnsi="Book Antiqua"/>
          <w:sz w:val="18"/>
          <w:szCs w:val="18"/>
          <w:lang w:val="id-ID"/>
        </w:rPr>
        <w:t>hlm. 95-97,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Loc. Cit, hlm. 199</w:t>
      </w:r>
    </w:p>
  </w:footnote>
  <w:footnote w:id="38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w:t>
      </w:r>
      <w:r w:rsidRPr="00B611A3">
        <w:rPr>
          <w:rFonts w:ascii="Book Antiqua" w:hAnsi="Book Antiqua"/>
          <w:sz w:val="18"/>
          <w:szCs w:val="18"/>
          <w:lang w:val="id-ID"/>
        </w:rPr>
        <w:t>.</w:t>
      </w:r>
      <w:r w:rsidRPr="00B611A3">
        <w:rPr>
          <w:rFonts w:ascii="Book Antiqua" w:hAnsi="Book Antiqua"/>
          <w:sz w:val="18"/>
          <w:szCs w:val="18"/>
        </w:rPr>
        <w:t>D</w:t>
      </w:r>
      <w:r w:rsidRPr="00B611A3">
        <w:rPr>
          <w:rFonts w:ascii="Book Antiqua" w:hAnsi="Book Antiqua"/>
          <w:sz w:val="18"/>
          <w:szCs w:val="18"/>
          <w:lang w:val="id-ID"/>
        </w:rPr>
        <w:t>.</w:t>
      </w:r>
      <w:r w:rsidRPr="00B611A3">
        <w:rPr>
          <w:rFonts w:ascii="Book Antiqua" w:hAnsi="Book Antiqua"/>
          <w:sz w:val="18"/>
          <w:szCs w:val="18"/>
        </w:rPr>
        <w:t xml:space="preserve">A. Freeman,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336</w:t>
      </w:r>
      <w:r w:rsidRPr="00B611A3">
        <w:rPr>
          <w:rFonts w:ascii="Book Antiqua" w:hAnsi="Book Antiqua"/>
          <w:sz w:val="18"/>
          <w:szCs w:val="18"/>
          <w:lang w:val="id-ID"/>
        </w:rPr>
        <w:t>-</w:t>
      </w:r>
      <w:r w:rsidRPr="00B611A3">
        <w:rPr>
          <w:rFonts w:ascii="Book Antiqua" w:hAnsi="Book Antiqua"/>
          <w:sz w:val="18"/>
          <w:szCs w:val="18"/>
        </w:rPr>
        <w:t>337</w:t>
      </w:r>
    </w:p>
  </w:footnote>
  <w:footnote w:id="38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 xml:space="preserve">Jalaluddin dan Usman Said, </w:t>
      </w:r>
      <w:r w:rsidRPr="00B611A3">
        <w:rPr>
          <w:rFonts w:ascii="Book Antiqua" w:hAnsi="Book Antiqua"/>
          <w:i/>
          <w:sz w:val="18"/>
          <w:szCs w:val="18"/>
          <w:lang w:val="id-ID"/>
        </w:rPr>
        <w:t>Loc. Cit</w:t>
      </w:r>
      <w:r w:rsidRPr="00B611A3">
        <w:rPr>
          <w:rFonts w:ascii="Book Antiqua" w:hAnsi="Book Antiqua"/>
          <w:sz w:val="18"/>
          <w:szCs w:val="18"/>
          <w:lang w:val="id-ID"/>
        </w:rPr>
        <w:t>, hlm. 31</w:t>
      </w:r>
    </w:p>
  </w:footnote>
  <w:footnote w:id="38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393</w:t>
      </w:r>
    </w:p>
  </w:footnote>
  <w:footnote w:id="39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Luis Kutner, </w:t>
      </w:r>
      <w:r w:rsidRPr="00B611A3">
        <w:rPr>
          <w:rFonts w:ascii="Book Antiqua" w:hAnsi="Book Antiqua"/>
          <w:i/>
          <w:sz w:val="18"/>
          <w:szCs w:val="18"/>
          <w:lang w:val="id-ID"/>
        </w:rPr>
        <w:t>Savigny: German Lawgiver</w:t>
      </w:r>
      <w:r w:rsidRPr="00B611A3">
        <w:rPr>
          <w:rFonts w:ascii="Book Antiqua" w:hAnsi="Book Antiqua"/>
          <w:sz w:val="18"/>
          <w:szCs w:val="18"/>
          <w:lang w:val="id-ID"/>
        </w:rPr>
        <w:t>, Marquatte Law Review, Vol.55, 1972, hlm. 283, dalam Atip Latipulhayat,</w:t>
      </w:r>
      <w:r w:rsidRPr="00B611A3">
        <w:rPr>
          <w:rFonts w:ascii="Book Antiqua" w:hAnsi="Book Antiqua"/>
          <w:i/>
          <w:sz w:val="18"/>
          <w:szCs w:val="18"/>
          <w:lang w:val="id-ID"/>
        </w:rPr>
        <w:t>Friedrich Karl Von Savigny</w:t>
      </w:r>
      <w:r w:rsidRPr="00B611A3">
        <w:rPr>
          <w:rFonts w:ascii="Book Antiqua" w:hAnsi="Book Antiqua"/>
          <w:sz w:val="18"/>
          <w:szCs w:val="18"/>
          <w:lang w:val="id-ID"/>
        </w:rPr>
        <w:t>, Ibid, hlm. 200</w:t>
      </w:r>
    </w:p>
  </w:footnote>
  <w:footnote w:id="39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H.L.A. Hart,</w:t>
      </w:r>
      <w:r w:rsidRPr="00B611A3">
        <w:rPr>
          <w:rFonts w:ascii="Book Antiqua" w:hAnsi="Book Antiqua"/>
          <w:i/>
          <w:sz w:val="18"/>
          <w:szCs w:val="18"/>
        </w:rPr>
        <w:t>The Concept of Law</w:t>
      </w:r>
      <w:r w:rsidRPr="00B611A3">
        <w:rPr>
          <w:rFonts w:ascii="Book Antiqua" w:hAnsi="Book Antiqua"/>
          <w:i/>
          <w:sz w:val="18"/>
          <w:szCs w:val="18"/>
          <w:lang w:val="id-ID"/>
        </w:rPr>
        <w:t xml:space="preserve">, Loc. Cit, </w:t>
      </w:r>
      <w:r w:rsidRPr="00B611A3">
        <w:rPr>
          <w:rFonts w:ascii="Book Antiqua" w:hAnsi="Book Antiqua"/>
          <w:sz w:val="18"/>
          <w:szCs w:val="18"/>
          <w:lang w:val="id-ID"/>
        </w:rPr>
        <w:t>hlm. 90-91</w:t>
      </w:r>
    </w:p>
  </w:footnote>
  <w:footnote w:id="39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 xml:space="preserve">Julius </w:t>
      </w:r>
      <w:r w:rsidRPr="00B611A3">
        <w:rPr>
          <w:rFonts w:ascii="Book Antiqua" w:hAnsi="Book Antiqua"/>
          <w:sz w:val="18"/>
          <w:szCs w:val="18"/>
          <w:lang w:val="id-ID"/>
        </w:rPr>
        <w:t xml:space="preserve">Stone, </w:t>
      </w:r>
      <w:r w:rsidRPr="00B611A3">
        <w:rPr>
          <w:rFonts w:ascii="Book Antiqua" w:hAnsi="Book Antiqua"/>
          <w:i/>
          <w:sz w:val="18"/>
          <w:szCs w:val="18"/>
          <w:lang w:val="id-ID"/>
        </w:rPr>
        <w:t xml:space="preserve">The Province and Function of Law, Loc. Cit, </w:t>
      </w:r>
      <w:r w:rsidRPr="00B611A3">
        <w:rPr>
          <w:rFonts w:ascii="Book Antiqua" w:hAnsi="Book Antiqua"/>
          <w:sz w:val="18"/>
          <w:szCs w:val="18"/>
          <w:lang w:val="id-ID"/>
        </w:rPr>
        <w:t xml:space="preserve">hlm. 421, dalam Atip Latipulhayat, </w:t>
      </w:r>
      <w:r w:rsidRPr="00B611A3">
        <w:rPr>
          <w:rFonts w:ascii="Book Antiqua" w:hAnsi="Book Antiqua"/>
          <w:i/>
          <w:sz w:val="18"/>
          <w:szCs w:val="18"/>
          <w:lang w:val="id-ID"/>
        </w:rPr>
        <w:t xml:space="preserve">Friedrich Karl Von Savigny, Lok. Cit, </w:t>
      </w:r>
      <w:r w:rsidRPr="00B611A3">
        <w:rPr>
          <w:rFonts w:ascii="Book Antiqua" w:hAnsi="Book Antiqua"/>
          <w:sz w:val="18"/>
          <w:szCs w:val="18"/>
          <w:lang w:val="id-ID"/>
        </w:rPr>
        <w:t>hlm. 202</w:t>
      </w:r>
    </w:p>
  </w:footnote>
  <w:footnote w:id="39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Luis Kutner, </w:t>
      </w:r>
      <w:r w:rsidRPr="00B611A3">
        <w:rPr>
          <w:rFonts w:ascii="Book Antiqua" w:hAnsi="Book Antiqua"/>
          <w:i/>
          <w:sz w:val="18"/>
          <w:szCs w:val="18"/>
          <w:lang w:val="id-ID"/>
        </w:rPr>
        <w:t xml:space="preserve">Savigny: German Lawgiver, Loc. Cit, </w:t>
      </w:r>
      <w:r w:rsidRPr="00B611A3">
        <w:rPr>
          <w:rFonts w:ascii="Book Antiqua" w:hAnsi="Book Antiqua"/>
          <w:sz w:val="18"/>
          <w:szCs w:val="18"/>
          <w:lang w:val="id-ID"/>
        </w:rPr>
        <w:t>hlm. 283, dalam Atip Latipulhayat,</w:t>
      </w:r>
      <w:r w:rsidRPr="00B611A3">
        <w:rPr>
          <w:rFonts w:ascii="Book Antiqua" w:hAnsi="Book Antiqua"/>
          <w:i/>
          <w:sz w:val="18"/>
          <w:szCs w:val="18"/>
          <w:lang w:val="id-ID"/>
        </w:rPr>
        <w:t>Friedrich Karl Von Savigny, Loc. Cit</w:t>
      </w:r>
      <w:r w:rsidRPr="00B611A3">
        <w:rPr>
          <w:rFonts w:ascii="Book Antiqua" w:hAnsi="Book Antiqua"/>
          <w:sz w:val="18"/>
          <w:szCs w:val="18"/>
          <w:lang w:val="id-ID"/>
        </w:rPr>
        <w:t>, hlm. 200</w:t>
      </w:r>
    </w:p>
  </w:footnote>
  <w:footnote w:id="39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Grace E. Hart</w:t>
      </w:r>
      <w:r w:rsidRPr="00B611A3">
        <w:rPr>
          <w:rFonts w:ascii="Book Antiqua" w:hAnsi="Book Antiqua"/>
          <w:sz w:val="18"/>
          <w:szCs w:val="18"/>
          <w:lang w:val="id-ID"/>
        </w:rPr>
        <w:t xml:space="preserve">, “Methodological Stare Decisis and Intersystemic Statutory Interpretation in the Choice-of-Law Context”,  </w:t>
      </w:r>
      <w:r w:rsidRPr="00B611A3">
        <w:rPr>
          <w:rFonts w:ascii="Book Antiqua" w:hAnsi="Book Antiqua"/>
          <w:sz w:val="18"/>
          <w:szCs w:val="18"/>
        </w:rPr>
        <w:t>The Yale Law Journal</w:t>
      </w:r>
      <w:r w:rsidRPr="00B611A3">
        <w:rPr>
          <w:rFonts w:ascii="Book Antiqua" w:hAnsi="Book Antiqua"/>
          <w:sz w:val="18"/>
          <w:szCs w:val="18"/>
          <w:lang w:val="id-ID"/>
        </w:rPr>
        <w:t>. 124, hlm. 1835, 2015</w:t>
      </w:r>
    </w:p>
  </w:footnote>
  <w:footnote w:id="395">
    <w:p w:rsidR="004E75CF" w:rsidRPr="00B611A3" w:rsidRDefault="004E75CF" w:rsidP="00B611A3">
      <w:pPr>
        <w:pStyle w:val="FootnoteText"/>
        <w:jc w:val="both"/>
        <w:rPr>
          <w:rFonts w:ascii="Book Antiqua" w:hAnsi="Book Antiqua"/>
          <w:color w:val="FF0000"/>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Michael H. Hart</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393</w:t>
      </w:r>
    </w:p>
  </w:footnote>
  <w:footnote w:id="39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Jason Iuliano</w:t>
      </w:r>
      <w:r w:rsidRPr="00B611A3">
        <w:rPr>
          <w:rFonts w:ascii="Book Antiqua" w:hAnsi="Book Antiqua"/>
          <w:sz w:val="18"/>
          <w:szCs w:val="18"/>
          <w:lang w:val="id-ID"/>
        </w:rPr>
        <w:t xml:space="preserve"> dalam </w:t>
      </w:r>
      <w:r w:rsidRPr="00B611A3">
        <w:rPr>
          <w:rFonts w:ascii="Book Antiqua" w:hAnsi="Book Antiqua"/>
          <w:sz w:val="18"/>
          <w:szCs w:val="18"/>
        </w:rPr>
        <w:t>“Jury Voting Paradoxes”, Michigan Law Review, Vol. 113, hlm. 405-406, 2014</w:t>
      </w:r>
    </w:p>
  </w:footnote>
  <w:footnote w:id="39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lang w:val="id-ID"/>
        </w:rPr>
        <w:t xml:space="preserve">W. Friedman, </w:t>
      </w:r>
      <w:r w:rsidRPr="00B611A3">
        <w:rPr>
          <w:rFonts w:ascii="Book Antiqua" w:hAnsi="Book Antiqua"/>
          <w:i/>
          <w:sz w:val="18"/>
          <w:szCs w:val="18"/>
          <w:lang w:val="id-ID"/>
        </w:rPr>
        <w:t>Loc. Cit</w:t>
      </w:r>
      <w:r w:rsidRPr="00B611A3">
        <w:rPr>
          <w:rFonts w:ascii="Book Antiqua" w:hAnsi="Book Antiqua"/>
          <w:sz w:val="18"/>
          <w:szCs w:val="18"/>
          <w:lang w:val="id-ID"/>
        </w:rPr>
        <w:t>, hlm. 170&amp;257</w:t>
      </w:r>
    </w:p>
  </w:footnote>
  <w:footnote w:id="39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Ludwing von Wiittgenstein</w:t>
      </w:r>
      <w:r w:rsidRPr="00B611A3">
        <w:rPr>
          <w:rFonts w:ascii="Book Antiqua" w:hAnsi="Book Antiqua"/>
          <w:sz w:val="18"/>
          <w:szCs w:val="18"/>
          <w:lang w:val="id-ID"/>
        </w:rPr>
        <w:t xml:space="preserve"> dalam J</w:t>
      </w:r>
      <w:r w:rsidRPr="00B611A3">
        <w:rPr>
          <w:rFonts w:ascii="Book Antiqua" w:hAnsi="Book Antiqua"/>
          <w:sz w:val="18"/>
          <w:szCs w:val="18"/>
        </w:rPr>
        <w:t>ujun Suriasumantri,</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48-49</w:t>
      </w:r>
    </w:p>
  </w:footnote>
  <w:footnote w:id="39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Stefan Talmon</w:t>
      </w:r>
      <w:r w:rsidRPr="00B611A3">
        <w:rPr>
          <w:rFonts w:ascii="Book Antiqua" w:hAnsi="Book Antiqua"/>
          <w:sz w:val="18"/>
          <w:szCs w:val="18"/>
          <w:lang w:val="id-ID"/>
        </w:rPr>
        <w:t>, “Determining Customary International Law: The ICJ’s Methodology between Induction, Deduction and Assertion”, The European Journal of International Law Vol. 26 no. 2, hlm. 417 &amp; 441, 2015</w:t>
      </w:r>
    </w:p>
  </w:footnote>
  <w:footnote w:id="40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Frank Pasquale &amp; Glyn Cashwell</w:t>
      </w:r>
      <w:r w:rsidRPr="00B611A3">
        <w:rPr>
          <w:rFonts w:ascii="Book Antiqua" w:hAnsi="Book Antiqua"/>
          <w:sz w:val="18"/>
          <w:szCs w:val="18"/>
          <w:lang w:val="id-ID"/>
        </w:rPr>
        <w:t>, “Four Futures of Legal Automation”, Ucla Law Review Discourse. 26, hlm. 45-47, 2015</w:t>
      </w:r>
    </w:p>
  </w:footnote>
  <w:footnote w:id="40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Jimly Asshiddiqie dan M. Ali Safa’at,</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 xml:space="preserve"> 8-9</w:t>
      </w:r>
    </w:p>
  </w:footnote>
  <w:footnote w:id="40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Brian Z. Tamanaha, </w:t>
      </w:r>
      <w:r w:rsidRPr="00B611A3">
        <w:rPr>
          <w:rFonts w:ascii="Book Antiqua" w:hAnsi="Book Antiqua"/>
          <w:i/>
          <w:sz w:val="18"/>
          <w:szCs w:val="18"/>
        </w:rPr>
        <w:t xml:space="preserve">A General Jurisprudence fo Law and Society, </w:t>
      </w:r>
      <w:r w:rsidRPr="00B611A3">
        <w:rPr>
          <w:rFonts w:ascii="Book Antiqua" w:hAnsi="Book Antiqua"/>
          <w:i/>
          <w:sz w:val="18"/>
          <w:szCs w:val="18"/>
          <w:lang w:val="id-ID"/>
        </w:rPr>
        <w:t>Loc. Cit</w:t>
      </w:r>
      <w:r w:rsidRPr="00B611A3">
        <w:rPr>
          <w:rFonts w:ascii="Book Antiqua" w:hAnsi="Book Antiqua"/>
          <w:sz w:val="18"/>
          <w:szCs w:val="18"/>
          <w:lang w:val="id-ID"/>
        </w:rPr>
        <w:t xml:space="preserve">, hlm. </w:t>
      </w:r>
      <w:r w:rsidRPr="00B611A3">
        <w:rPr>
          <w:rFonts w:ascii="Book Antiqua" w:hAnsi="Book Antiqua"/>
          <w:sz w:val="18"/>
          <w:szCs w:val="18"/>
        </w:rPr>
        <w:t>1</w:t>
      </w:r>
      <w:r w:rsidRPr="00B611A3">
        <w:rPr>
          <w:rFonts w:ascii="Book Antiqua" w:hAnsi="Book Antiqua"/>
          <w:sz w:val="18"/>
          <w:szCs w:val="18"/>
          <w:lang w:val="id-ID"/>
        </w:rPr>
        <w:t>-3</w:t>
      </w:r>
    </w:p>
  </w:footnote>
  <w:footnote w:id="403">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D76105" w:rsidRPr="00B611A3">
        <w:rPr>
          <w:rFonts w:ascii="Book Antiqua" w:hAnsi="Book Antiqua" w:cs="Times New Roman"/>
          <w:sz w:val="18"/>
          <w:szCs w:val="18"/>
          <w:lang w:val="id-ID"/>
        </w:rPr>
        <w:t xml:space="preserve"> </w:t>
      </w:r>
      <w:r w:rsidRPr="00B611A3">
        <w:rPr>
          <w:rFonts w:ascii="Book Antiqua" w:hAnsi="Book Antiqua" w:cs="Times New Roman"/>
          <w:sz w:val="18"/>
          <w:szCs w:val="18"/>
        </w:rPr>
        <w:t>Werner Heisenberg</w:t>
      </w:r>
      <w:r w:rsidRPr="00B611A3">
        <w:rPr>
          <w:rFonts w:ascii="Book Antiqua" w:hAnsi="Book Antiqua" w:cs="Times New Roman"/>
          <w:sz w:val="18"/>
          <w:szCs w:val="18"/>
          <w:lang w:val="id-ID"/>
        </w:rPr>
        <w:t xml:space="preserve"> dalam Fritjof Capra,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 xml:space="preserve">hlm. 73-74.  </w:t>
      </w:r>
    </w:p>
  </w:footnote>
  <w:footnote w:id="40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cs="Times New Roman"/>
          <w:sz w:val="18"/>
          <w:szCs w:val="18"/>
          <w:lang w:val="id-ID"/>
        </w:rPr>
        <w:t xml:space="preserve"> </w:t>
      </w:r>
      <w:r w:rsidRPr="00B611A3">
        <w:rPr>
          <w:rFonts w:ascii="Book Antiqua" w:hAnsi="Book Antiqua" w:cs="Times New Roman"/>
          <w:sz w:val="18"/>
          <w:szCs w:val="18"/>
          <w:lang w:val="id-ID"/>
        </w:rPr>
        <w:t xml:space="preserve">Fritjof Capra, </w:t>
      </w:r>
      <w:r w:rsidRPr="00B611A3">
        <w:rPr>
          <w:rFonts w:ascii="Book Antiqua" w:hAnsi="Book Antiqua" w:cs="Times New Roman"/>
          <w:i/>
          <w:sz w:val="18"/>
          <w:szCs w:val="18"/>
          <w:lang w:val="id-ID"/>
        </w:rPr>
        <w:t xml:space="preserve">Loc. Cit, </w:t>
      </w:r>
      <w:r w:rsidRPr="00B611A3">
        <w:rPr>
          <w:rFonts w:ascii="Book Antiqua" w:hAnsi="Book Antiqua" w:cs="Times New Roman"/>
          <w:sz w:val="18"/>
          <w:szCs w:val="18"/>
          <w:lang w:val="id-ID"/>
        </w:rPr>
        <w:t xml:space="preserve">hlm.91-92.  </w:t>
      </w:r>
    </w:p>
  </w:footnote>
  <w:footnote w:id="40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Lawrence Friedman, </w:t>
      </w:r>
      <w:r w:rsidRPr="00B611A3">
        <w:rPr>
          <w:rFonts w:ascii="Book Antiqua" w:hAnsi="Book Antiqua"/>
          <w:i/>
          <w:sz w:val="18"/>
          <w:szCs w:val="18"/>
          <w:lang w:val="id-ID"/>
        </w:rPr>
        <w:t>American Law an Introduction</w:t>
      </w:r>
      <w:r w:rsidRPr="00B611A3">
        <w:rPr>
          <w:rFonts w:ascii="Book Antiqua" w:hAnsi="Book Antiqua"/>
          <w:sz w:val="18"/>
          <w:szCs w:val="18"/>
          <w:lang w:val="id-ID"/>
        </w:rPr>
        <w:t xml:space="preserve">, diterjemahkan oleh Wishnu Basuki menjadi: </w:t>
      </w:r>
      <w:r w:rsidRPr="00B611A3">
        <w:rPr>
          <w:rFonts w:ascii="Book Antiqua" w:hAnsi="Book Antiqua"/>
          <w:i/>
          <w:sz w:val="18"/>
          <w:szCs w:val="18"/>
          <w:lang w:val="id-ID"/>
        </w:rPr>
        <w:t>Hukum Amerika Sebuah Pengantar</w:t>
      </w:r>
      <w:r w:rsidRPr="00B611A3">
        <w:rPr>
          <w:rFonts w:ascii="Book Antiqua" w:hAnsi="Book Antiqua"/>
          <w:sz w:val="18"/>
          <w:szCs w:val="18"/>
          <w:lang w:val="id-ID"/>
        </w:rPr>
        <w:t>, Tata Nusa, Jakarta: 2001, hlm. 11-18.</w:t>
      </w:r>
    </w:p>
  </w:footnote>
  <w:footnote w:id="40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D76105" w:rsidRPr="00B611A3">
        <w:rPr>
          <w:rFonts w:ascii="Book Antiqua" w:hAnsi="Book Antiqua"/>
          <w:sz w:val="18"/>
          <w:szCs w:val="18"/>
          <w:lang w:val="id-ID"/>
        </w:rPr>
        <w:t xml:space="preserve"> </w:t>
      </w:r>
      <w:r w:rsidRPr="00B611A3">
        <w:rPr>
          <w:rFonts w:ascii="Book Antiqua" w:hAnsi="Book Antiqua"/>
          <w:sz w:val="18"/>
          <w:szCs w:val="18"/>
        </w:rPr>
        <w:t>Vicki C. Jackson</w:t>
      </w:r>
      <w:r w:rsidRPr="00B611A3">
        <w:rPr>
          <w:rFonts w:ascii="Book Antiqua" w:hAnsi="Book Antiqua"/>
          <w:sz w:val="18"/>
          <w:szCs w:val="18"/>
          <w:lang w:val="id-ID"/>
        </w:rPr>
        <w:t>, “Comparative Constitutional Law, Legal Realism, And Empirical Legal Science”,Boston University Law Review, Vol. 96, hlm. 1359-1360, 2016</w:t>
      </w:r>
    </w:p>
  </w:footnote>
  <w:footnote w:id="40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Pemahaman tentang konsep konvergensi epistemologi berkeadaban tersebut sebagaimana disampaikan oleh Nurcholish Madjid dalam </w:t>
      </w:r>
      <w:r w:rsidRPr="00B611A3">
        <w:rPr>
          <w:rFonts w:ascii="Book Antiqua" w:hAnsi="Book Antiqua"/>
          <w:i/>
          <w:sz w:val="18"/>
          <w:szCs w:val="18"/>
          <w:lang w:val="id-ID"/>
        </w:rPr>
        <w:t>Islam Kemodernan dan KeIndonesiaan, Loc. Cit</w:t>
      </w:r>
      <w:r w:rsidRPr="00B611A3">
        <w:rPr>
          <w:rFonts w:ascii="Book Antiqua" w:hAnsi="Book Antiqua"/>
          <w:sz w:val="18"/>
          <w:szCs w:val="18"/>
          <w:lang w:val="id-ID"/>
        </w:rPr>
        <w:t xml:space="preserve">, hlm. 38-39;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 xml:space="preserve">hlm. 7; </w:t>
      </w:r>
      <w:r w:rsidRPr="00B611A3">
        <w:rPr>
          <w:rFonts w:ascii="Book Antiqua" w:hAnsi="Book Antiqua"/>
          <w:sz w:val="18"/>
          <w:szCs w:val="18"/>
        </w:rPr>
        <w:t>Adian Husaini</w:t>
      </w:r>
      <w:r w:rsidRPr="00B611A3">
        <w:rPr>
          <w:rFonts w:ascii="Book Antiqua" w:hAnsi="Book Antiqua"/>
          <w:sz w:val="18"/>
          <w:szCs w:val="18"/>
          <w:lang w:val="id-ID"/>
        </w:rPr>
        <w:t>, e</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hlm. 92-94.</w:t>
      </w:r>
    </w:p>
  </w:footnote>
  <w:footnote w:id="40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Dalam c</w:t>
      </w:r>
      <w:r w:rsidRPr="00B611A3">
        <w:rPr>
          <w:rFonts w:ascii="Book Antiqua" w:hAnsi="Book Antiqua"/>
          <w:sz w:val="18"/>
          <w:szCs w:val="18"/>
        </w:rPr>
        <w:t>atatan</w:t>
      </w:r>
      <w:r w:rsidRPr="00B611A3">
        <w:rPr>
          <w:rFonts w:ascii="Book Antiqua" w:hAnsi="Book Antiqua"/>
          <w:sz w:val="18"/>
          <w:szCs w:val="18"/>
          <w:lang w:val="id-ID"/>
        </w:rPr>
        <w:t xml:space="preserve">nya </w:t>
      </w:r>
      <w:r w:rsidRPr="00B611A3">
        <w:rPr>
          <w:rFonts w:ascii="Book Antiqua" w:hAnsi="Book Antiqua"/>
          <w:sz w:val="18"/>
          <w:szCs w:val="18"/>
        </w:rPr>
        <w:t xml:space="preserve">menganjurkan penegakan holistik dalam hukum </w:t>
      </w:r>
      <w:r w:rsidRPr="00B611A3">
        <w:rPr>
          <w:rFonts w:ascii="Book Antiqua" w:hAnsi="Book Antiqua"/>
          <w:sz w:val="18"/>
          <w:szCs w:val="18"/>
          <w:lang w:val="id-ID"/>
        </w:rPr>
        <w:t xml:space="preserve">keuangan </w:t>
      </w:r>
      <w:r w:rsidRPr="00B611A3">
        <w:rPr>
          <w:rFonts w:ascii="Book Antiqua" w:hAnsi="Book Antiqua"/>
          <w:sz w:val="18"/>
          <w:szCs w:val="18"/>
        </w:rPr>
        <w:t xml:space="preserve">untuk menyelesaikan kekurangandan ambiguitas dalam </w:t>
      </w:r>
      <w:r w:rsidRPr="00B611A3">
        <w:rPr>
          <w:rFonts w:ascii="Book Antiqua" w:hAnsi="Book Antiqua"/>
          <w:sz w:val="18"/>
          <w:szCs w:val="18"/>
          <w:lang w:val="id-ID"/>
        </w:rPr>
        <w:t xml:space="preserve">memahami </w:t>
      </w:r>
      <w:r w:rsidRPr="00B611A3">
        <w:rPr>
          <w:rFonts w:ascii="Book Antiqua" w:hAnsi="Book Antiqua"/>
          <w:sz w:val="18"/>
          <w:szCs w:val="18"/>
        </w:rPr>
        <w:t>undang-undang. Pendekatan ini dapat menekan manipulasi kecurangan atau bahkan distorsi</w:t>
      </w:r>
      <w:r w:rsidRPr="00B611A3">
        <w:rPr>
          <w:rFonts w:ascii="Book Antiqua" w:hAnsi="Book Antiqua"/>
          <w:sz w:val="18"/>
          <w:szCs w:val="18"/>
          <w:lang w:val="id-ID"/>
        </w:rPr>
        <w:t xml:space="preserve"> dalam menata keuangan.</w:t>
      </w:r>
      <w:r w:rsidRPr="00B611A3">
        <w:rPr>
          <w:rFonts w:ascii="Book Antiqua" w:hAnsi="Book Antiqua"/>
          <w:sz w:val="18"/>
          <w:szCs w:val="18"/>
        </w:rPr>
        <w:t>Milson C. Yu</w:t>
      </w:r>
      <w:r w:rsidRPr="00B611A3">
        <w:rPr>
          <w:rFonts w:ascii="Book Antiqua" w:hAnsi="Book Antiqua"/>
          <w:sz w:val="18"/>
          <w:szCs w:val="18"/>
          <w:lang w:val="id-ID"/>
        </w:rPr>
        <w:t>, “Libor Integrity And Holistic Domestic Enforcement”, Cornell Law Review, Vol. 98, hlm. 1316-1317, 2013</w:t>
      </w:r>
    </w:p>
  </w:footnote>
  <w:footnote w:id="40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Pemahaman tersebut sesuai dengan makna adab yang disampaikan oleh </w:t>
      </w:r>
      <w:r w:rsidRPr="00B611A3">
        <w:rPr>
          <w:rFonts w:ascii="Book Antiqua" w:hAnsi="Book Antiqua"/>
          <w:sz w:val="18"/>
          <w:szCs w:val="18"/>
        </w:rPr>
        <w:t>Syed Muhammad Naquib Al-Attas</w:t>
      </w:r>
      <w:r w:rsidRPr="00B611A3">
        <w:rPr>
          <w:rFonts w:ascii="Book Antiqua" w:hAnsi="Book Antiqua"/>
          <w:sz w:val="18"/>
          <w:szCs w:val="18"/>
          <w:lang w:val="id-ID"/>
        </w:rPr>
        <w:t xml:space="preserve"> dalam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410">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hlm.7</w:t>
      </w:r>
    </w:p>
  </w:footnote>
  <w:footnote w:id="411">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001B044C" w:rsidRPr="00B611A3">
        <w:rPr>
          <w:rFonts w:ascii="Book Antiqua" w:hAnsi="Book Antiqua" w:cs="Arial"/>
          <w:sz w:val="18"/>
          <w:szCs w:val="18"/>
          <w:lang w:val="id-ID"/>
        </w:rPr>
        <w:t xml:space="preserve"> </w:t>
      </w:r>
      <w:r w:rsidRPr="00B611A3">
        <w:rPr>
          <w:rFonts w:ascii="Book Antiqua" w:hAnsi="Book Antiqua" w:cs="Arial"/>
          <w:sz w:val="18"/>
          <w:szCs w:val="18"/>
        </w:rPr>
        <w:t>Imam al-Ghazali,</w:t>
      </w:r>
      <w:r w:rsidRPr="00B611A3">
        <w:rPr>
          <w:rFonts w:ascii="Book Antiqua" w:hAnsi="Book Antiqua" w:cs="Arial"/>
          <w:i/>
          <w:sz w:val="18"/>
          <w:szCs w:val="18"/>
        </w:rPr>
        <w:t>Ihya’ Ulumiddin</w:t>
      </w:r>
      <w:r w:rsidRPr="00B611A3">
        <w:rPr>
          <w:rFonts w:ascii="Book Antiqua" w:hAnsi="Book Antiqua" w:cs="Arial"/>
          <w:sz w:val="18"/>
          <w:szCs w:val="18"/>
          <w:lang w:val="id-ID"/>
        </w:rPr>
        <w:t xml:space="preserve">, </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41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Mukhlis Denros, </w:t>
      </w:r>
      <w:r w:rsidRPr="00B611A3">
        <w:rPr>
          <w:rFonts w:ascii="Book Antiqua" w:hAnsi="Book Antiqua"/>
          <w:i/>
          <w:sz w:val="18"/>
          <w:szCs w:val="18"/>
          <w:lang w:val="id-ID"/>
        </w:rPr>
        <w:t>Memanusiakan Manusia</w:t>
      </w:r>
      <w:r w:rsidRPr="00B611A3">
        <w:rPr>
          <w:rFonts w:ascii="Book Antiqua" w:hAnsi="Book Antiqua"/>
          <w:sz w:val="18"/>
          <w:szCs w:val="18"/>
          <w:lang w:val="id-ID"/>
        </w:rPr>
        <w:t>, Qibla, Jakarta: 2011, hlm. 141</w:t>
      </w:r>
    </w:p>
  </w:footnote>
  <w:footnote w:id="41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Bung Hatta dalam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xml:space="preserve">, hlm. 240-241; Muhammad Yamin dalam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xml:space="preserve">, hlm. 92-94; </w:t>
      </w:r>
    </w:p>
  </w:footnote>
  <w:footnote w:id="41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Konsep Pendidikan dalam Islam: Suatu Kerangka Pikir Pembinaan Filsafat Pendidikan Islam, Loc. Cit</w:t>
      </w:r>
      <w:r w:rsidRPr="00B611A3">
        <w:rPr>
          <w:rFonts w:ascii="Book Antiqua" w:hAnsi="Book Antiqua"/>
          <w:sz w:val="18"/>
          <w:szCs w:val="18"/>
          <w:lang w:val="id-ID"/>
        </w:rPr>
        <w:t>, hlm. 63</w:t>
      </w:r>
    </w:p>
  </w:footnote>
  <w:footnote w:id="41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cs="Times New Roman"/>
          <w:sz w:val="18"/>
          <w:szCs w:val="18"/>
          <w:lang w:val="id-ID"/>
        </w:rPr>
        <w:t xml:space="preserve"> Yogi Prasetyo, “Adab sebagai Politik Hukum Islam”, jurnal Tsaqafah Unida Gontor, Vol. 13, No. 1, hlm. 95, 2017</w:t>
      </w:r>
    </w:p>
  </w:footnote>
  <w:footnote w:id="41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Mark Chinen</w:t>
      </w:r>
      <w:r w:rsidRPr="00B611A3">
        <w:rPr>
          <w:rFonts w:ascii="Book Antiqua" w:hAnsi="Book Antiqua"/>
          <w:sz w:val="18"/>
          <w:szCs w:val="18"/>
          <w:lang w:val="id-ID"/>
        </w:rPr>
        <w:t>, “Complexity Theory and the Horizontal and Vertical Dimensions of State Responsibility”, The European Journal of International Law, Vol. 25, No. 3, hlm. 703-704, 2014</w:t>
      </w:r>
    </w:p>
  </w:footnote>
  <w:footnote w:id="417">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Patrick Mckinley Brennan,</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The Liberty Of The Church: Source, Scope And Scandal</w:t>
      </w:r>
      <w:r w:rsidRPr="00B611A3">
        <w:rPr>
          <w:rFonts w:ascii="Book Antiqua" w:hAnsi="Book Antiqua" w:cs="Times New Roman"/>
          <w:sz w:val="18"/>
          <w:szCs w:val="18"/>
          <w:lang w:val="id-ID"/>
        </w:rPr>
        <w:t>”</w:t>
      </w:r>
      <w:r w:rsidRPr="00B611A3">
        <w:rPr>
          <w:rFonts w:ascii="Book Antiqua" w:hAnsi="Book Antiqua" w:cs="Times New Roman"/>
          <w:sz w:val="18"/>
          <w:szCs w:val="18"/>
        </w:rPr>
        <w:t>,J</w:t>
      </w:r>
      <w:r w:rsidRPr="00B611A3">
        <w:rPr>
          <w:rFonts w:ascii="Book Antiqua" w:hAnsi="Book Antiqua" w:cs="Times New Roman"/>
          <w:sz w:val="18"/>
          <w:szCs w:val="18"/>
          <w:lang w:val="id-ID"/>
        </w:rPr>
        <w:t xml:space="preserve">ournal </w:t>
      </w:r>
      <w:r w:rsidRPr="00B611A3">
        <w:rPr>
          <w:rFonts w:ascii="Book Antiqua" w:hAnsi="Book Antiqua" w:cs="Times New Roman"/>
          <w:sz w:val="18"/>
          <w:szCs w:val="18"/>
        </w:rPr>
        <w:t>ContempLegal Issues</w:t>
      </w:r>
      <w:r w:rsidRPr="00B611A3">
        <w:rPr>
          <w:rFonts w:ascii="Book Antiqua" w:hAnsi="Book Antiqua" w:cs="Times New Roman"/>
          <w:sz w:val="18"/>
          <w:szCs w:val="18"/>
          <w:lang w:val="id-ID"/>
        </w:rPr>
        <w:t xml:space="preserve">, Vol. 21, hlm. </w:t>
      </w:r>
      <w:r w:rsidRPr="00B611A3">
        <w:rPr>
          <w:rFonts w:ascii="Book Antiqua" w:hAnsi="Book Antiqua" w:cs="Times New Roman"/>
          <w:sz w:val="18"/>
          <w:szCs w:val="18"/>
        </w:rPr>
        <w:t>189-93</w:t>
      </w:r>
      <w:r w:rsidRPr="00B611A3">
        <w:rPr>
          <w:rFonts w:ascii="Book Antiqua" w:hAnsi="Book Antiqua" w:cs="Times New Roman"/>
          <w:sz w:val="18"/>
          <w:szCs w:val="18"/>
          <w:lang w:val="id-ID"/>
        </w:rPr>
        <w:t>, 2013</w:t>
      </w:r>
    </w:p>
  </w:footnote>
  <w:footnote w:id="418">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Christopher C. Lund</w:t>
      </w:r>
      <w:r w:rsidRPr="00B611A3">
        <w:rPr>
          <w:rFonts w:ascii="Book Antiqua" w:hAnsi="Book Antiqua" w:cs="Times New Roman"/>
          <w:sz w:val="18"/>
          <w:szCs w:val="18"/>
          <w:lang w:val="id-ID"/>
        </w:rPr>
        <w:t>, “Religion Is Special Enough”, Virginia Law Review, Vol. 103, hlm.523-524, 2017</w:t>
      </w:r>
    </w:p>
  </w:footnote>
  <w:footnote w:id="41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Al-Ghazali,</w:t>
      </w:r>
      <w:r w:rsidRPr="00B611A3">
        <w:rPr>
          <w:rFonts w:ascii="Book Antiqua" w:hAnsi="Book Antiqua"/>
          <w:i/>
          <w:sz w:val="18"/>
          <w:szCs w:val="18"/>
        </w:rPr>
        <w:t xml:space="preserve">Wasiat Imam Al-Ghazali, </w:t>
      </w:r>
      <w:r w:rsidRPr="00B611A3">
        <w:rPr>
          <w:rFonts w:ascii="Book Antiqua" w:hAnsi="Book Antiqua"/>
          <w:i/>
          <w:sz w:val="18"/>
          <w:szCs w:val="18"/>
          <w:lang w:val="id-ID"/>
        </w:rPr>
        <w:t>Loc. Cit</w:t>
      </w:r>
      <w:r w:rsidRPr="00B611A3">
        <w:rPr>
          <w:rFonts w:ascii="Book Antiqua" w:hAnsi="Book Antiqua"/>
          <w:sz w:val="18"/>
          <w:szCs w:val="18"/>
          <w:lang w:val="id-ID"/>
        </w:rPr>
        <w:t>, hlm.</w:t>
      </w:r>
      <w:r w:rsidRPr="00B611A3">
        <w:rPr>
          <w:rFonts w:ascii="Book Antiqua" w:hAnsi="Book Antiqua"/>
          <w:sz w:val="18"/>
          <w:szCs w:val="18"/>
        </w:rPr>
        <w:t>72</w:t>
      </w:r>
      <w:r w:rsidRPr="00B611A3">
        <w:rPr>
          <w:rFonts w:ascii="Book Antiqua" w:hAnsi="Book Antiqua"/>
          <w:sz w:val="18"/>
          <w:szCs w:val="18"/>
          <w:lang w:val="id-ID"/>
        </w:rPr>
        <w:t xml:space="preserve">; Al-Ghazali, </w:t>
      </w:r>
      <w:r w:rsidRPr="00B611A3">
        <w:rPr>
          <w:rFonts w:ascii="Book Antiqua" w:hAnsi="Book Antiqua"/>
          <w:i/>
          <w:sz w:val="18"/>
          <w:szCs w:val="18"/>
          <w:lang w:val="id-ID"/>
        </w:rPr>
        <w:t>Ilmu dalam Perspektif Tasauf, Loc. Cit</w:t>
      </w:r>
      <w:r w:rsidRPr="00B611A3">
        <w:rPr>
          <w:rFonts w:ascii="Book Antiqua" w:hAnsi="Book Antiqua"/>
          <w:sz w:val="18"/>
          <w:szCs w:val="18"/>
          <w:lang w:val="id-ID"/>
        </w:rPr>
        <w:t xml:space="preserve">, hlm.61;  Fuadi, </w:t>
      </w:r>
      <w:r w:rsidRPr="00B611A3">
        <w:rPr>
          <w:rFonts w:ascii="Book Antiqua" w:hAnsi="Book Antiqua"/>
          <w:i/>
          <w:sz w:val="18"/>
          <w:szCs w:val="18"/>
          <w:lang w:val="id-ID"/>
        </w:rPr>
        <w:t>“Peran Akal Menurut Pandangan Al-Ghazali”, Loc. Cit</w:t>
      </w:r>
      <w:r w:rsidRPr="00B611A3">
        <w:rPr>
          <w:rFonts w:ascii="Book Antiqua" w:hAnsi="Book Antiqua"/>
          <w:sz w:val="18"/>
          <w:szCs w:val="18"/>
          <w:lang w:val="id-ID"/>
        </w:rPr>
        <w:t>, hlm.85</w:t>
      </w:r>
    </w:p>
  </w:footnote>
  <w:footnote w:id="420">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A</w:t>
      </w:r>
      <w:r w:rsidRPr="00B611A3">
        <w:rPr>
          <w:rFonts w:ascii="Book Antiqua" w:hAnsi="Book Antiqua"/>
          <w:sz w:val="18"/>
          <w:szCs w:val="18"/>
        </w:rPr>
        <w:t>l-TaftazaniAbu al-Wafaal-Ghanimi</w:t>
      </w:r>
      <w:r w:rsidRPr="00B611A3">
        <w:rPr>
          <w:rFonts w:ascii="Book Antiqua" w:hAnsi="Book Antiqua"/>
          <w:sz w:val="18"/>
          <w:szCs w:val="18"/>
          <w:lang w:val="id-ID"/>
        </w:rPr>
        <w:t xml:space="preserve">, </w:t>
      </w:r>
      <w:r w:rsidRPr="00B611A3">
        <w:rPr>
          <w:rFonts w:ascii="Book Antiqua" w:hAnsi="Book Antiqua"/>
          <w:i/>
          <w:sz w:val="18"/>
          <w:szCs w:val="18"/>
          <w:lang w:val="id-ID"/>
        </w:rPr>
        <w:t>Loc. Cit</w:t>
      </w:r>
      <w:r w:rsidRPr="00B611A3">
        <w:rPr>
          <w:rFonts w:ascii="Book Antiqua" w:hAnsi="Book Antiqua"/>
          <w:sz w:val="18"/>
          <w:szCs w:val="18"/>
          <w:lang w:val="id-ID"/>
        </w:rPr>
        <w:t>, hlm. 165</w:t>
      </w:r>
    </w:p>
  </w:footnote>
  <w:footnote w:id="42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Damanhuri, </w:t>
      </w:r>
      <w:r w:rsidRPr="00B611A3">
        <w:rPr>
          <w:rFonts w:ascii="Book Antiqua" w:hAnsi="Book Antiqua"/>
          <w:i/>
          <w:sz w:val="18"/>
          <w:szCs w:val="18"/>
          <w:lang w:val="id-ID"/>
        </w:rPr>
        <w:t>Ijtihad Hermeneutis</w:t>
      </w:r>
      <w:r w:rsidRPr="00B611A3">
        <w:rPr>
          <w:rFonts w:ascii="Book Antiqua" w:hAnsi="Book Antiqua"/>
          <w:sz w:val="18"/>
          <w:szCs w:val="18"/>
          <w:lang w:val="id-ID"/>
        </w:rPr>
        <w:t xml:space="preserve">, IRCiSoD, Yogyakarta: 2016, hlm. 11; J. Esposito, </w:t>
      </w:r>
      <w:r w:rsidRPr="00B611A3">
        <w:rPr>
          <w:rFonts w:ascii="Book Antiqua" w:hAnsi="Book Antiqua"/>
          <w:i/>
          <w:sz w:val="18"/>
          <w:szCs w:val="18"/>
          <w:lang w:val="id-ID"/>
        </w:rPr>
        <w:t>The Oxford Encyclopedia of the Modern Islamic World</w:t>
      </w:r>
      <w:r w:rsidRPr="00B611A3">
        <w:rPr>
          <w:rFonts w:ascii="Book Antiqua" w:hAnsi="Book Antiqua"/>
          <w:sz w:val="18"/>
          <w:szCs w:val="18"/>
          <w:lang w:val="id-ID"/>
        </w:rPr>
        <w:t>, Oxford University Press, New York: 1995, hlm. 180</w:t>
      </w:r>
    </w:p>
  </w:footnote>
  <w:footnote w:id="422">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Pusat Bahasa-Departemen Pendidikan Nasional,</w:t>
      </w:r>
      <w:r w:rsidRPr="00B611A3">
        <w:rPr>
          <w:rFonts w:ascii="Book Antiqua" w:hAnsi="Book Antiqua" w:cs="Times New Roman"/>
          <w:i/>
          <w:sz w:val="18"/>
          <w:szCs w:val="18"/>
          <w:lang w:val="id-ID"/>
        </w:rPr>
        <w:t>Loc. Cit</w:t>
      </w:r>
      <w:r w:rsidRPr="00B611A3">
        <w:rPr>
          <w:rFonts w:ascii="Book Antiqua" w:hAnsi="Book Antiqua" w:cs="Times New Roman"/>
          <w:sz w:val="18"/>
          <w:szCs w:val="18"/>
          <w:lang w:val="id-ID"/>
        </w:rPr>
        <w:t>, hlm. 7</w:t>
      </w:r>
    </w:p>
  </w:footnote>
  <w:footnote w:id="423">
    <w:p w:rsidR="004E75CF" w:rsidRPr="00B611A3" w:rsidRDefault="004E75CF" w:rsidP="00B611A3">
      <w:pPr>
        <w:pStyle w:val="FootnoteText"/>
        <w:jc w:val="both"/>
        <w:rPr>
          <w:rFonts w:ascii="Book Antiqua" w:hAnsi="Book Antiqua" w:cs="Arial"/>
          <w:sz w:val="18"/>
          <w:szCs w:val="18"/>
          <w:lang w:val="id-ID"/>
        </w:rPr>
      </w:pPr>
      <w:r w:rsidRPr="00B611A3">
        <w:rPr>
          <w:rStyle w:val="FootnoteReference"/>
          <w:rFonts w:ascii="Book Antiqua" w:hAnsi="Book Antiqua" w:cs="Arial"/>
          <w:sz w:val="18"/>
          <w:szCs w:val="18"/>
        </w:rPr>
        <w:footnoteRef/>
      </w:r>
      <w:r w:rsidR="001B044C" w:rsidRPr="00B611A3">
        <w:rPr>
          <w:rFonts w:ascii="Book Antiqua" w:hAnsi="Book Antiqua" w:cs="Arial"/>
          <w:sz w:val="18"/>
          <w:szCs w:val="18"/>
          <w:lang w:val="id-ID"/>
        </w:rPr>
        <w:t xml:space="preserve"> </w:t>
      </w:r>
      <w:r w:rsidRPr="00B611A3">
        <w:rPr>
          <w:rFonts w:ascii="Book Antiqua" w:hAnsi="Book Antiqua" w:cs="Arial"/>
          <w:sz w:val="18"/>
          <w:szCs w:val="18"/>
        </w:rPr>
        <w:t>Imam al-Ghazali,Ihya’ Ulumiddin</w:t>
      </w:r>
      <w:r w:rsidRPr="00B611A3">
        <w:rPr>
          <w:rFonts w:ascii="Book Antiqua" w:hAnsi="Book Antiqua" w:cs="Arial"/>
          <w:sz w:val="18"/>
          <w:szCs w:val="18"/>
          <w:lang w:val="id-ID"/>
        </w:rPr>
        <w:t xml:space="preserve">, </w:t>
      </w:r>
      <w:r w:rsidRPr="00B611A3">
        <w:rPr>
          <w:rFonts w:ascii="Book Antiqua" w:hAnsi="Book Antiqua" w:cs="Arial"/>
          <w:i/>
          <w:sz w:val="18"/>
          <w:szCs w:val="18"/>
          <w:lang w:val="id-ID"/>
        </w:rPr>
        <w:t>Loc. Cit</w:t>
      </w:r>
      <w:r w:rsidRPr="00B611A3">
        <w:rPr>
          <w:rFonts w:ascii="Book Antiqua" w:hAnsi="Book Antiqua" w:cs="Arial"/>
          <w:sz w:val="18"/>
          <w:szCs w:val="18"/>
          <w:lang w:val="id-ID"/>
        </w:rPr>
        <w:t>, hlm. 6-7</w:t>
      </w:r>
    </w:p>
  </w:footnote>
  <w:footnote w:id="42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Q</w:t>
      </w:r>
      <w:r w:rsidRPr="00B611A3">
        <w:rPr>
          <w:rFonts w:ascii="Book Antiqua" w:hAnsi="Book Antiqua"/>
          <w:sz w:val="18"/>
          <w:szCs w:val="18"/>
          <w:lang w:val="id-ID"/>
        </w:rPr>
        <w:t>.</w:t>
      </w:r>
      <w:r w:rsidRPr="00B611A3">
        <w:rPr>
          <w:rFonts w:ascii="Book Antiqua" w:hAnsi="Book Antiqua"/>
          <w:sz w:val="18"/>
          <w:szCs w:val="18"/>
        </w:rPr>
        <w:t>Sal-Baqarah: 72, 242; Q.SYusuf: 2; Q.Sal-Nur:61; Q.Sal-Zukhruf: 3; Q.Sal</w:t>
      </w:r>
      <w:r w:rsidRPr="00B611A3">
        <w:rPr>
          <w:rFonts w:ascii="Book Antiqua" w:hAnsi="Book Antiqua"/>
          <w:sz w:val="18"/>
          <w:szCs w:val="18"/>
          <w:lang w:val="id-ID"/>
        </w:rPr>
        <w:t>-</w:t>
      </w:r>
      <w:r w:rsidRPr="00B611A3">
        <w:rPr>
          <w:rFonts w:ascii="Book Antiqua" w:hAnsi="Book Antiqua"/>
          <w:sz w:val="18"/>
          <w:szCs w:val="18"/>
        </w:rPr>
        <w:t>Hadid: 17</w:t>
      </w:r>
    </w:p>
  </w:footnote>
  <w:footnote w:id="42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rPr>
        <w:t>Q</w:t>
      </w:r>
      <w:r w:rsidRPr="00B611A3">
        <w:rPr>
          <w:rFonts w:ascii="Book Antiqua" w:hAnsi="Book Antiqua"/>
          <w:sz w:val="18"/>
          <w:szCs w:val="18"/>
          <w:lang w:val="id-ID"/>
        </w:rPr>
        <w:t>.</w:t>
      </w:r>
      <w:r w:rsidRPr="00B611A3">
        <w:rPr>
          <w:rFonts w:ascii="Book Antiqua" w:hAnsi="Book Antiqua"/>
          <w:sz w:val="18"/>
          <w:szCs w:val="18"/>
        </w:rPr>
        <w:t>SIbrahim</w:t>
      </w:r>
      <w:r w:rsidRPr="00B611A3">
        <w:rPr>
          <w:rFonts w:ascii="Book Antiqua" w:hAnsi="Book Antiqua"/>
          <w:sz w:val="18"/>
          <w:szCs w:val="18"/>
          <w:lang w:val="id-ID"/>
        </w:rPr>
        <w:t xml:space="preserve"> ayat </w:t>
      </w:r>
      <w:r w:rsidRPr="00B611A3">
        <w:rPr>
          <w:rFonts w:ascii="Book Antiqua" w:hAnsi="Book Antiqua"/>
          <w:sz w:val="18"/>
          <w:szCs w:val="18"/>
        </w:rPr>
        <w:t>52; Q.SShad</w:t>
      </w:r>
      <w:r w:rsidRPr="00B611A3">
        <w:rPr>
          <w:rFonts w:ascii="Book Antiqua" w:hAnsi="Book Antiqua"/>
          <w:sz w:val="18"/>
          <w:szCs w:val="18"/>
          <w:lang w:val="id-ID"/>
        </w:rPr>
        <w:t xml:space="preserve"> ayat </w:t>
      </w:r>
      <w:r w:rsidRPr="00B611A3">
        <w:rPr>
          <w:rFonts w:ascii="Book Antiqua" w:hAnsi="Book Antiqua"/>
          <w:sz w:val="18"/>
          <w:szCs w:val="18"/>
        </w:rPr>
        <w:t>29; Q.Sal-Thaghabun</w:t>
      </w:r>
      <w:r w:rsidRPr="00B611A3">
        <w:rPr>
          <w:rFonts w:ascii="Book Antiqua" w:hAnsi="Book Antiqua"/>
          <w:sz w:val="18"/>
          <w:szCs w:val="18"/>
          <w:lang w:val="id-ID"/>
        </w:rPr>
        <w:t xml:space="preserve"> ayat </w:t>
      </w:r>
      <w:r w:rsidRPr="00B611A3">
        <w:rPr>
          <w:rFonts w:ascii="Book Antiqua" w:hAnsi="Book Antiqua"/>
          <w:sz w:val="18"/>
          <w:szCs w:val="18"/>
        </w:rPr>
        <w:t>11.</w:t>
      </w:r>
    </w:p>
  </w:footnote>
  <w:footnote w:id="42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Hal ini sesuai dengan makna kata “beradab” yang terdapat dalam sila kedua Pancasila yang berarti menegakkan dan menjunjung tinggi manusia sesuai dengan harkat, martabat dan derajatnya sebagai mahluk Tuhan Yang Maha Esa.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Bung Hatta dalam Yudi Latif, </w:t>
      </w:r>
      <w:r w:rsidRPr="00B611A3">
        <w:rPr>
          <w:rFonts w:ascii="Book Antiqua" w:hAnsi="Book Antiqua"/>
          <w:i/>
          <w:sz w:val="18"/>
          <w:szCs w:val="18"/>
          <w:lang w:val="id-ID"/>
        </w:rPr>
        <w:t>Negara Paripurna: Historisitas, Rasionalitas dan Aktualisasi Pancasila, Loc. Cit</w:t>
      </w:r>
      <w:r w:rsidRPr="00B611A3">
        <w:rPr>
          <w:rFonts w:ascii="Book Antiqua" w:hAnsi="Book Antiqua"/>
          <w:sz w:val="18"/>
          <w:szCs w:val="18"/>
          <w:lang w:val="id-ID"/>
        </w:rPr>
        <w:t>, hlm. 240-241</w:t>
      </w:r>
    </w:p>
    <w:p w:rsidR="004E75CF" w:rsidRPr="00B611A3" w:rsidRDefault="004E75CF" w:rsidP="00B611A3">
      <w:pPr>
        <w:pStyle w:val="FootnoteText"/>
        <w:jc w:val="both"/>
        <w:rPr>
          <w:rFonts w:ascii="Book Antiqua" w:hAnsi="Book Antiqua"/>
          <w:sz w:val="18"/>
          <w:szCs w:val="18"/>
          <w:lang w:val="id-ID"/>
        </w:rPr>
      </w:pPr>
    </w:p>
    <w:p w:rsidR="004E75CF" w:rsidRPr="00B611A3" w:rsidRDefault="004E75CF" w:rsidP="00B611A3">
      <w:pPr>
        <w:pStyle w:val="FootnoteText"/>
        <w:jc w:val="both"/>
        <w:rPr>
          <w:rFonts w:ascii="Book Antiqua" w:hAnsi="Book Antiqua"/>
          <w:sz w:val="18"/>
          <w:szCs w:val="18"/>
          <w:lang w:val="id-ID"/>
        </w:rPr>
      </w:pPr>
    </w:p>
  </w:footnote>
  <w:footnote w:id="42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 xml:space="preserve">Pusat Bahasa-Departemen Pendidikan Nasional, </w:t>
      </w:r>
      <w:r w:rsidRPr="00B611A3">
        <w:rPr>
          <w:rFonts w:ascii="Book Antiqua" w:hAnsi="Book Antiqua" w:cs="Times New Roman"/>
          <w:i/>
          <w:sz w:val="18"/>
          <w:szCs w:val="18"/>
        </w:rPr>
        <w:t>Kamus Besar Bahasa Indonesia</w:t>
      </w:r>
      <w:r w:rsidRPr="00B611A3">
        <w:rPr>
          <w:rFonts w:ascii="Book Antiqua" w:hAnsi="Book Antiqua" w:cs="Times New Roman"/>
          <w:i/>
          <w:sz w:val="18"/>
          <w:szCs w:val="18"/>
          <w:lang w:val="id-ID"/>
        </w:rPr>
        <w:t xml:space="preserve">, Loc. Cit, </w:t>
      </w:r>
      <w:r w:rsidRPr="00B611A3">
        <w:rPr>
          <w:rFonts w:ascii="Book Antiqua" w:hAnsi="Book Antiqua" w:cs="Times New Roman"/>
          <w:sz w:val="18"/>
          <w:szCs w:val="18"/>
          <w:lang w:val="id-ID"/>
        </w:rPr>
        <w:t xml:space="preserve">hlm. 7;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 xml:space="preserve">. </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xml:space="preserve">, hlm. 212; Muhammad Yamin dalam </w:t>
      </w:r>
      <w:r w:rsidRPr="00B611A3">
        <w:rPr>
          <w:rFonts w:ascii="Book Antiqua" w:hAnsi="Book Antiqua"/>
          <w:sz w:val="18"/>
          <w:szCs w:val="18"/>
        </w:rPr>
        <w:t>BPUPKI (</w:t>
      </w:r>
      <w:r w:rsidRPr="00B611A3">
        <w:rPr>
          <w:rFonts w:ascii="Book Antiqua" w:hAnsi="Book Antiqua"/>
          <w:sz w:val="18"/>
          <w:szCs w:val="18"/>
          <w:lang w:val="id-ID"/>
        </w:rPr>
        <w:t>B</w:t>
      </w:r>
      <w:r w:rsidRPr="00B611A3">
        <w:rPr>
          <w:rFonts w:ascii="Book Antiqua" w:hAnsi="Book Antiqua"/>
          <w:sz w:val="18"/>
          <w:szCs w:val="18"/>
        </w:rPr>
        <w:t xml:space="preserve">adan </w:t>
      </w:r>
      <w:r w:rsidRPr="00B611A3">
        <w:rPr>
          <w:rFonts w:ascii="Book Antiqua" w:hAnsi="Book Antiqua"/>
          <w:sz w:val="18"/>
          <w:szCs w:val="18"/>
          <w:lang w:val="id-ID"/>
        </w:rPr>
        <w:t>P</w:t>
      </w:r>
      <w:r w:rsidRPr="00B611A3">
        <w:rPr>
          <w:rFonts w:ascii="Book Antiqua" w:hAnsi="Book Antiqua"/>
          <w:sz w:val="18"/>
          <w:szCs w:val="18"/>
        </w:rPr>
        <w:t xml:space="preserve">enyelidik </w:t>
      </w:r>
      <w:r w:rsidRPr="00B611A3">
        <w:rPr>
          <w:rFonts w:ascii="Book Antiqua" w:hAnsi="Book Antiqua"/>
          <w:sz w:val="18"/>
          <w:szCs w:val="18"/>
          <w:lang w:val="id-ID"/>
        </w:rPr>
        <w:t>U</w:t>
      </w:r>
      <w:r w:rsidRPr="00B611A3">
        <w:rPr>
          <w:rFonts w:ascii="Book Antiqua" w:hAnsi="Book Antiqua"/>
          <w:sz w:val="18"/>
          <w:szCs w:val="18"/>
        </w:rPr>
        <w:t xml:space="preserve">saha </w:t>
      </w:r>
      <w:r w:rsidRPr="00B611A3">
        <w:rPr>
          <w:rFonts w:ascii="Book Antiqua" w:hAnsi="Book Antiqua"/>
          <w:sz w:val="18"/>
          <w:szCs w:val="18"/>
          <w:lang w:val="id-ID"/>
        </w:rPr>
        <w:t>P</w:t>
      </w:r>
      <w:r w:rsidRPr="00B611A3">
        <w:rPr>
          <w:rFonts w:ascii="Book Antiqua" w:hAnsi="Book Antiqua"/>
          <w:sz w:val="18"/>
          <w:szCs w:val="18"/>
        </w:rPr>
        <w:t xml:space="preserve">ersiapan </w:t>
      </w:r>
      <w:r w:rsidRPr="00B611A3">
        <w:rPr>
          <w:rFonts w:ascii="Book Antiqua" w:hAnsi="Book Antiqua"/>
          <w:sz w:val="18"/>
          <w:szCs w:val="18"/>
          <w:lang w:val="id-ID"/>
        </w:rPr>
        <w:t>K</w:t>
      </w:r>
      <w:r w:rsidRPr="00B611A3">
        <w:rPr>
          <w:rFonts w:ascii="Book Antiqua" w:hAnsi="Book Antiqua"/>
          <w:sz w:val="18"/>
          <w:szCs w:val="18"/>
        </w:rPr>
        <w:t>emerdekaan Indonesia)</w:t>
      </w:r>
      <w:r w:rsidRPr="00B611A3">
        <w:rPr>
          <w:rFonts w:ascii="Book Antiqua" w:hAnsi="Book Antiqua"/>
          <w:sz w:val="18"/>
          <w:szCs w:val="18"/>
          <w:lang w:val="id-ID"/>
        </w:rPr>
        <w:t xml:space="preserve">, </w:t>
      </w:r>
      <w:r w:rsidRPr="00B611A3">
        <w:rPr>
          <w:rFonts w:ascii="Book Antiqua" w:hAnsi="Book Antiqua"/>
          <w:i/>
          <w:sz w:val="18"/>
          <w:szCs w:val="18"/>
          <w:lang w:val="id-ID"/>
        </w:rPr>
        <w:t>Risalah Rapat, Loc. Cit</w:t>
      </w:r>
      <w:r w:rsidRPr="00B611A3">
        <w:rPr>
          <w:rFonts w:ascii="Book Antiqua" w:hAnsi="Book Antiqua"/>
          <w:sz w:val="18"/>
          <w:szCs w:val="18"/>
          <w:lang w:val="id-ID"/>
        </w:rPr>
        <w:t>, hlm. 92-94</w:t>
      </w:r>
    </w:p>
  </w:footnote>
  <w:footnote w:id="42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001B044C" w:rsidRPr="00B611A3">
        <w:rPr>
          <w:rFonts w:ascii="Book Antiqua" w:hAnsi="Book Antiqua"/>
          <w:sz w:val="18"/>
          <w:szCs w:val="18"/>
          <w:lang w:val="id-ID"/>
        </w:rPr>
        <w:t xml:space="preserve"> </w:t>
      </w:r>
      <w:r w:rsidRPr="00B611A3">
        <w:rPr>
          <w:rFonts w:ascii="Book Antiqua" w:hAnsi="Book Antiqua"/>
          <w:sz w:val="18"/>
          <w:szCs w:val="18"/>
          <w:lang w:val="id-ID"/>
        </w:rPr>
        <w:t xml:space="preserve">Syed Muhammad Naquib al-Attas, </w:t>
      </w:r>
      <w:r w:rsidRPr="00B611A3">
        <w:rPr>
          <w:rFonts w:ascii="Book Antiqua" w:hAnsi="Book Antiqua"/>
          <w:i/>
          <w:sz w:val="18"/>
          <w:szCs w:val="18"/>
          <w:lang w:val="id-ID"/>
        </w:rPr>
        <w:t>Risalah untuk Kaum Muslimin</w:t>
      </w:r>
      <w:r w:rsidRPr="00B611A3">
        <w:rPr>
          <w:rFonts w:ascii="Book Antiqua" w:hAnsi="Book Antiqua"/>
          <w:sz w:val="18"/>
          <w:szCs w:val="18"/>
          <w:lang w:val="id-ID"/>
        </w:rPr>
        <w:t>, ISTAC, Kuala Lumpur: 2001, hlm. 119</w:t>
      </w:r>
    </w:p>
  </w:footnote>
  <w:footnote w:id="429">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B044C" w:rsidRPr="00B611A3">
        <w:rPr>
          <w:rFonts w:ascii="Book Antiqua" w:hAnsi="Book Antiqua" w:cs="Times New Roman"/>
          <w:sz w:val="18"/>
          <w:szCs w:val="18"/>
          <w:lang w:val="id-ID"/>
        </w:rPr>
        <w:t xml:space="preserve"> </w:t>
      </w:r>
      <w:r w:rsidRPr="00B611A3">
        <w:rPr>
          <w:rFonts w:ascii="Book Antiqua" w:hAnsi="Book Antiqua" w:cs="Times New Roman"/>
          <w:sz w:val="18"/>
          <w:szCs w:val="18"/>
        </w:rPr>
        <w:t>Ziauddin Sardar</w:t>
      </w:r>
      <w:r w:rsidRPr="00B611A3">
        <w:rPr>
          <w:rFonts w:ascii="Book Antiqua" w:hAnsi="Book Antiqua" w:cs="Times New Roman"/>
          <w:sz w:val="18"/>
          <w:szCs w:val="18"/>
          <w:lang w:val="id-ID"/>
        </w:rPr>
        <w:t xml:space="preserve">, </w:t>
      </w:r>
      <w:r w:rsidRPr="00B611A3">
        <w:rPr>
          <w:rFonts w:ascii="Book Antiqua" w:hAnsi="Book Antiqua" w:cs="Times New Roman"/>
          <w:i/>
          <w:sz w:val="18"/>
          <w:szCs w:val="18"/>
        </w:rPr>
        <w:t>Merombak Pola Pikir Intelektual Muslim</w:t>
      </w:r>
      <w:r w:rsidRPr="00B611A3">
        <w:rPr>
          <w:rFonts w:ascii="Book Antiqua" w:hAnsi="Book Antiqua" w:cs="Times New Roman"/>
          <w:sz w:val="18"/>
          <w:szCs w:val="18"/>
        </w:rPr>
        <w:t xml:space="preserve">, </w:t>
      </w:r>
      <w:r w:rsidRPr="00B611A3">
        <w:rPr>
          <w:rFonts w:ascii="Book Antiqua" w:hAnsi="Book Antiqua" w:cs="Times New Roman"/>
          <w:sz w:val="18"/>
          <w:szCs w:val="18"/>
          <w:lang w:val="id-ID"/>
        </w:rPr>
        <w:t>dit</w:t>
      </w:r>
      <w:r w:rsidRPr="00B611A3">
        <w:rPr>
          <w:rFonts w:ascii="Book Antiqua" w:hAnsi="Book Antiqua" w:cs="Times New Roman"/>
          <w:sz w:val="18"/>
          <w:szCs w:val="18"/>
        </w:rPr>
        <w:t>erj</w:t>
      </w:r>
      <w:r w:rsidRPr="00B611A3">
        <w:rPr>
          <w:rFonts w:ascii="Book Antiqua" w:hAnsi="Book Antiqua" w:cs="Times New Roman"/>
          <w:sz w:val="18"/>
          <w:szCs w:val="18"/>
          <w:lang w:val="id-ID"/>
        </w:rPr>
        <w:t xml:space="preserve">emahkan oleh </w:t>
      </w:r>
      <w:r w:rsidRPr="00B611A3">
        <w:rPr>
          <w:rFonts w:ascii="Book Antiqua" w:hAnsi="Book Antiqua" w:cs="Times New Roman"/>
          <w:sz w:val="18"/>
          <w:szCs w:val="18"/>
        </w:rPr>
        <w:t>Agung Prihantoro &amp; Fuad A.F</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Pustaka Pelajar</w:t>
      </w:r>
      <w:r w:rsidRPr="00B611A3">
        <w:rPr>
          <w:rFonts w:ascii="Book Antiqua" w:hAnsi="Book Antiqua" w:cs="Times New Roman"/>
          <w:sz w:val="18"/>
          <w:szCs w:val="18"/>
          <w:lang w:val="id-ID"/>
        </w:rPr>
        <w:t xml:space="preserve">, </w:t>
      </w:r>
      <w:r w:rsidRPr="00B611A3">
        <w:rPr>
          <w:rFonts w:ascii="Book Antiqua" w:hAnsi="Book Antiqua" w:cs="Times New Roman"/>
          <w:sz w:val="18"/>
          <w:szCs w:val="18"/>
        </w:rPr>
        <w:t>Yogyakarta</w:t>
      </w:r>
      <w:r w:rsidRPr="00B611A3">
        <w:rPr>
          <w:rFonts w:ascii="Book Antiqua" w:hAnsi="Book Antiqua" w:cs="Times New Roman"/>
          <w:sz w:val="18"/>
          <w:szCs w:val="18"/>
          <w:lang w:val="id-ID"/>
        </w:rPr>
        <w:t>: 2000, hlm. 23</w:t>
      </w:r>
    </w:p>
  </w:footnote>
  <w:footnote w:id="430">
    <w:p w:rsidR="004E75CF" w:rsidRPr="00B611A3" w:rsidRDefault="004E75CF" w:rsidP="00B611A3">
      <w:pPr>
        <w:pStyle w:val="FootnoteText"/>
        <w:jc w:val="both"/>
        <w:rPr>
          <w:rFonts w:ascii="Book Antiqua" w:hAnsi="Book Antiqua" w:cs="Times New Roman"/>
          <w:sz w:val="18"/>
          <w:szCs w:val="18"/>
          <w:lang w:val="id-ID"/>
        </w:rPr>
      </w:pPr>
      <w:r w:rsidRPr="00B611A3">
        <w:rPr>
          <w:rStyle w:val="FootnoteReference"/>
          <w:rFonts w:ascii="Book Antiqua" w:hAnsi="Book Antiqua" w:cs="Times New Roman"/>
          <w:sz w:val="18"/>
          <w:szCs w:val="18"/>
        </w:rPr>
        <w:footnoteRef/>
      </w:r>
      <w:r w:rsidR="00163DFA" w:rsidRPr="00B611A3">
        <w:rPr>
          <w:rFonts w:ascii="Book Antiqua" w:hAnsi="Book Antiqua" w:cs="Times New Roman"/>
          <w:sz w:val="18"/>
          <w:szCs w:val="18"/>
          <w:lang w:val="id-ID"/>
        </w:rPr>
        <w:t xml:space="preserve"> </w:t>
      </w:r>
      <w:r w:rsidRPr="00B611A3">
        <w:rPr>
          <w:rFonts w:ascii="Book Antiqua" w:hAnsi="Book Antiqua" w:cs="Times New Roman"/>
          <w:sz w:val="18"/>
          <w:szCs w:val="18"/>
        </w:rPr>
        <w:t>Cécile</w:t>
      </w:r>
      <w:r w:rsidRPr="00B611A3">
        <w:rPr>
          <w:rFonts w:ascii="Book Antiqua" w:hAnsi="Book Antiqua" w:cs="Times New Roman"/>
          <w:sz w:val="18"/>
          <w:szCs w:val="18"/>
          <w:lang w:val="id-ID"/>
        </w:rPr>
        <w:t xml:space="preserve"> dalam </w:t>
      </w:r>
      <w:r w:rsidRPr="00B611A3">
        <w:rPr>
          <w:rFonts w:ascii="Book Antiqua" w:hAnsi="Book Antiqua" w:cs="Times New Roman"/>
          <w:sz w:val="18"/>
          <w:szCs w:val="18"/>
        </w:rPr>
        <w:t>Laborde</w:t>
      </w:r>
      <w:r w:rsidRPr="00B611A3">
        <w:rPr>
          <w:rFonts w:ascii="Book Antiqua" w:hAnsi="Book Antiqua" w:cs="Times New Roman"/>
          <w:sz w:val="18"/>
          <w:szCs w:val="18"/>
          <w:lang w:val="id-ID"/>
        </w:rPr>
        <w:t xml:space="preserve">, “Dworkin’s Freedom Of Religion Without God”, </w:t>
      </w:r>
      <w:r w:rsidRPr="00B611A3">
        <w:rPr>
          <w:rFonts w:ascii="Book Antiqua" w:hAnsi="Book Antiqua" w:cs="Times New Roman"/>
          <w:sz w:val="18"/>
          <w:szCs w:val="18"/>
        </w:rPr>
        <w:t>Boston University Law Review</w:t>
      </w:r>
      <w:r w:rsidRPr="00B611A3">
        <w:rPr>
          <w:rFonts w:ascii="Book Antiqua" w:hAnsi="Book Antiqua" w:cs="Times New Roman"/>
          <w:sz w:val="18"/>
          <w:szCs w:val="18"/>
          <w:lang w:val="id-ID"/>
        </w:rPr>
        <w:t>, Vol. 94, hlm. 1262-1263, 2014</w:t>
      </w:r>
    </w:p>
  </w:footnote>
  <w:footnote w:id="431">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Annemarie Schimmel</w:t>
      </w:r>
      <w:r w:rsidRPr="00B611A3">
        <w:rPr>
          <w:rFonts w:ascii="Book Antiqua" w:hAnsi="Book Antiqua"/>
          <w:sz w:val="18"/>
          <w:szCs w:val="18"/>
          <w:lang w:val="id-ID"/>
        </w:rPr>
        <w:t xml:space="preserve">, </w:t>
      </w:r>
      <w:r w:rsidRPr="00B611A3">
        <w:rPr>
          <w:rFonts w:ascii="Book Antiqua" w:hAnsi="Book Antiqua"/>
          <w:i/>
          <w:sz w:val="18"/>
          <w:szCs w:val="18"/>
          <w:lang w:val="id-ID"/>
        </w:rPr>
        <w:t>Deciphering The Signs of God: A Phenomenological Approach to Islam</w:t>
      </w:r>
      <w:r w:rsidRPr="00B611A3">
        <w:rPr>
          <w:rFonts w:ascii="Book Antiqua" w:hAnsi="Book Antiqua"/>
          <w:sz w:val="18"/>
          <w:szCs w:val="18"/>
          <w:lang w:val="id-ID"/>
        </w:rPr>
        <w:t xml:space="preserve">, University of New York Press, New York: 1994, hlm, viii, </w:t>
      </w:r>
      <w:r w:rsidRPr="00B611A3">
        <w:rPr>
          <w:rFonts w:ascii="Book Antiqua" w:hAnsi="Book Antiqua"/>
          <w:sz w:val="18"/>
          <w:szCs w:val="18"/>
        </w:rPr>
        <w:t xml:space="preserve">dalam Adian Husaini, </w:t>
      </w:r>
      <w:r w:rsidRPr="00B611A3">
        <w:rPr>
          <w:rFonts w:ascii="Book Antiqua" w:hAnsi="Book Antiqua"/>
          <w:i/>
          <w:sz w:val="18"/>
          <w:szCs w:val="18"/>
          <w:lang w:val="id-ID"/>
        </w:rPr>
        <w:t>Op. Cit</w:t>
      </w:r>
      <w:r w:rsidRPr="00B611A3">
        <w:rPr>
          <w:rFonts w:ascii="Book Antiqua" w:hAnsi="Book Antiqua"/>
          <w:sz w:val="18"/>
          <w:szCs w:val="18"/>
          <w:lang w:val="id-ID"/>
        </w:rPr>
        <w:t>, hlm. 172</w:t>
      </w:r>
    </w:p>
  </w:footnote>
  <w:footnote w:id="432">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Adian Husaini</w:t>
      </w:r>
      <w:r w:rsidRPr="00B611A3">
        <w:rPr>
          <w:rFonts w:ascii="Book Antiqua" w:hAnsi="Book Antiqua"/>
          <w:sz w:val="18"/>
          <w:szCs w:val="18"/>
          <w:lang w:val="id-ID"/>
        </w:rPr>
        <w:t>, a</w:t>
      </w:r>
      <w:r w:rsidRPr="00B611A3">
        <w:rPr>
          <w:rFonts w:ascii="Book Antiqua" w:hAnsi="Book Antiqua"/>
          <w:sz w:val="18"/>
          <w:szCs w:val="18"/>
        </w:rPr>
        <w:t>t</w:t>
      </w:r>
      <w:r w:rsidRPr="00B611A3">
        <w:rPr>
          <w:rFonts w:ascii="Book Antiqua" w:hAnsi="Book Antiqua"/>
          <w:sz w:val="18"/>
          <w:szCs w:val="18"/>
          <w:lang w:val="id-ID"/>
        </w:rPr>
        <w:t>.</w:t>
      </w:r>
      <w:r w:rsidRPr="00B611A3">
        <w:rPr>
          <w:rFonts w:ascii="Book Antiqua" w:hAnsi="Book Antiqua"/>
          <w:sz w:val="18"/>
          <w:szCs w:val="18"/>
        </w:rPr>
        <w:t>al</w:t>
      </w:r>
      <w:r w:rsidRPr="00B611A3">
        <w:rPr>
          <w:rFonts w:ascii="Book Antiqua" w:hAnsi="Book Antiqua"/>
          <w:sz w:val="18"/>
          <w:szCs w:val="18"/>
          <w:lang w:val="id-ID"/>
        </w:rPr>
        <w:t xml:space="preserve">, </w:t>
      </w:r>
      <w:r w:rsidRPr="00B611A3">
        <w:rPr>
          <w:rFonts w:ascii="Book Antiqua" w:hAnsi="Book Antiqua"/>
          <w:i/>
          <w:sz w:val="18"/>
          <w:szCs w:val="18"/>
        </w:rPr>
        <w:t>Filsafat Ilmu Perspektif Barat dan Islam</w:t>
      </w:r>
      <w:r w:rsidRPr="00B611A3">
        <w:rPr>
          <w:rFonts w:ascii="Book Antiqua" w:hAnsi="Book Antiqua"/>
          <w:i/>
          <w:sz w:val="18"/>
          <w:szCs w:val="18"/>
          <w:lang w:val="id-ID"/>
        </w:rPr>
        <w:t>, Loc. Cit</w:t>
      </w:r>
      <w:r w:rsidRPr="00B611A3">
        <w:rPr>
          <w:rFonts w:ascii="Book Antiqua" w:hAnsi="Book Antiqua"/>
          <w:sz w:val="18"/>
          <w:szCs w:val="18"/>
          <w:lang w:val="id-ID"/>
        </w:rPr>
        <w:t>, hlm. 212</w:t>
      </w:r>
    </w:p>
  </w:footnote>
  <w:footnote w:id="433">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434">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Syed Muhammad Naquib al-Attas, </w:t>
      </w:r>
      <w:r w:rsidRPr="00B611A3">
        <w:rPr>
          <w:rFonts w:ascii="Book Antiqua" w:hAnsi="Book Antiqua"/>
          <w:i/>
          <w:sz w:val="18"/>
          <w:szCs w:val="18"/>
          <w:lang w:val="id-ID"/>
        </w:rPr>
        <w:t>Prolegomena to the Metaphysics of Islam: An Exposition of the Fundamental Elements of the Worldview of Islam</w:t>
      </w:r>
      <w:r w:rsidRPr="00B611A3">
        <w:rPr>
          <w:rFonts w:ascii="Book Antiqua" w:hAnsi="Book Antiqua"/>
          <w:sz w:val="18"/>
          <w:szCs w:val="18"/>
          <w:lang w:val="id-ID"/>
        </w:rPr>
        <w:t>, Internasional Institut of Islamic Thought and Civilization, Kuala Lumpur: 2001, hlm. 11-12</w:t>
      </w:r>
    </w:p>
  </w:footnote>
  <w:footnote w:id="435">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Syed Muhammad Naquib Al-Attas</w:t>
      </w:r>
      <w:r w:rsidRPr="00B611A3">
        <w:rPr>
          <w:rFonts w:ascii="Book Antiqua" w:hAnsi="Book Antiqua"/>
          <w:sz w:val="18"/>
          <w:szCs w:val="18"/>
          <w:lang w:val="id-ID"/>
        </w:rPr>
        <w:t xml:space="preserve">, </w:t>
      </w:r>
      <w:r w:rsidRPr="00B611A3">
        <w:rPr>
          <w:rFonts w:ascii="Book Antiqua" w:hAnsi="Book Antiqua"/>
          <w:i/>
          <w:sz w:val="18"/>
          <w:szCs w:val="18"/>
          <w:lang w:val="id-ID"/>
        </w:rPr>
        <w:t xml:space="preserve">Konsep Pendidikan dalam Islam: Suatu Kerangka Pikir Pembinaan Filsafat Pendidikan Islam, Loc. Cit, </w:t>
      </w:r>
      <w:r w:rsidRPr="00B611A3">
        <w:rPr>
          <w:rFonts w:ascii="Book Antiqua" w:hAnsi="Book Antiqua"/>
          <w:sz w:val="18"/>
          <w:szCs w:val="18"/>
          <w:lang w:val="id-ID"/>
        </w:rPr>
        <w:t>hlm. 63</w:t>
      </w:r>
    </w:p>
  </w:footnote>
  <w:footnote w:id="436">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Miska Muhammad Amin, </w:t>
      </w:r>
      <w:r w:rsidRPr="00B611A3">
        <w:rPr>
          <w:rFonts w:ascii="Book Antiqua" w:hAnsi="Book Antiqua"/>
          <w:i/>
          <w:sz w:val="18"/>
          <w:szCs w:val="18"/>
          <w:lang w:val="id-ID"/>
        </w:rPr>
        <w:t>Epistemologi Islam: Pengantar Filsafat Pengetahuan Islam</w:t>
      </w:r>
      <w:r w:rsidRPr="00B611A3">
        <w:rPr>
          <w:rFonts w:ascii="Book Antiqua" w:hAnsi="Book Antiqua"/>
          <w:sz w:val="18"/>
          <w:szCs w:val="18"/>
          <w:lang w:val="id-ID"/>
        </w:rPr>
        <w:t>, Universitas Indonesia, Jakarta: 1983, hlm. 18-20</w:t>
      </w:r>
    </w:p>
  </w:footnote>
  <w:footnote w:id="437">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Robert W. Gordon</w:t>
      </w:r>
      <w:r w:rsidRPr="00B611A3">
        <w:rPr>
          <w:rFonts w:ascii="Book Antiqua" w:hAnsi="Book Antiqua"/>
          <w:sz w:val="18"/>
          <w:szCs w:val="18"/>
          <w:lang w:val="id-ID"/>
        </w:rPr>
        <w:t xml:space="preserve">, “Some Final Observations On Legal Intellectual History”, Buffalo Law Review, Vol. 64, hlm. 215, 2016 </w:t>
      </w:r>
    </w:p>
  </w:footnote>
  <w:footnote w:id="438">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Andrew Tutt </w:t>
      </w:r>
      <w:r w:rsidRPr="00B611A3">
        <w:rPr>
          <w:rFonts w:ascii="Book Antiqua" w:hAnsi="Book Antiqua"/>
          <w:sz w:val="18"/>
          <w:szCs w:val="18"/>
          <w:lang w:val="id-ID"/>
        </w:rPr>
        <w:t xml:space="preserve">, “A Fragment On Legal Innovation”, </w:t>
      </w:r>
      <w:r w:rsidRPr="00B611A3">
        <w:rPr>
          <w:rFonts w:ascii="Book Antiqua" w:hAnsi="Book Antiqua"/>
          <w:sz w:val="18"/>
          <w:szCs w:val="18"/>
        </w:rPr>
        <w:t>Buffalo Law Review</w:t>
      </w:r>
      <w:r w:rsidRPr="00B611A3">
        <w:rPr>
          <w:rFonts w:ascii="Book Antiqua" w:hAnsi="Book Antiqua"/>
          <w:sz w:val="18"/>
          <w:szCs w:val="18"/>
          <w:lang w:val="id-ID"/>
        </w:rPr>
        <w:t xml:space="preserve">, </w:t>
      </w:r>
      <w:r w:rsidRPr="00B611A3">
        <w:rPr>
          <w:rFonts w:ascii="Book Antiqua" w:hAnsi="Book Antiqua"/>
          <w:sz w:val="18"/>
          <w:szCs w:val="18"/>
        </w:rPr>
        <w:t>Vol. 62</w:t>
      </w:r>
      <w:r w:rsidRPr="00B611A3">
        <w:rPr>
          <w:rFonts w:ascii="Book Antiqua" w:hAnsi="Book Antiqua"/>
          <w:sz w:val="18"/>
          <w:szCs w:val="18"/>
          <w:lang w:val="id-ID"/>
        </w:rPr>
        <w:t>, hlm. 1001-1002, 2014</w:t>
      </w:r>
    </w:p>
  </w:footnote>
  <w:footnote w:id="439">
    <w:p w:rsidR="004E75CF" w:rsidRPr="00B611A3" w:rsidRDefault="004E75CF" w:rsidP="00B611A3">
      <w:pPr>
        <w:pStyle w:val="FootnoteText"/>
        <w:jc w:val="both"/>
        <w:rPr>
          <w:rFonts w:ascii="Book Antiqua" w:hAnsi="Book Antiqua"/>
          <w:sz w:val="18"/>
          <w:szCs w:val="18"/>
          <w:lang w:val="id-ID"/>
        </w:rPr>
      </w:pPr>
      <w:r w:rsidRPr="00B611A3">
        <w:rPr>
          <w:rStyle w:val="FootnoteReference"/>
          <w:rFonts w:ascii="Book Antiqua" w:hAnsi="Book Antiqua"/>
          <w:sz w:val="18"/>
          <w:szCs w:val="18"/>
        </w:rPr>
        <w:footnoteRef/>
      </w:r>
      <w:r w:rsidRPr="00B611A3">
        <w:rPr>
          <w:rFonts w:ascii="Book Antiqua" w:hAnsi="Book Antiqua"/>
          <w:sz w:val="18"/>
          <w:szCs w:val="18"/>
        </w:rPr>
        <w:t xml:space="preserve"> Hanoch Dagan &amp; Roy Kreitner</w:t>
      </w:r>
      <w:r w:rsidRPr="00B611A3">
        <w:rPr>
          <w:rFonts w:ascii="Book Antiqua" w:hAnsi="Book Antiqua"/>
          <w:sz w:val="18"/>
          <w:szCs w:val="18"/>
          <w:lang w:val="id-ID"/>
        </w:rPr>
        <w:t>, “The Character Of Legal Theory”, Cornell Law Review, Vol. 96, hlm. 671-672, 2011</w:t>
      </w:r>
    </w:p>
  </w:footnote>
  <w:footnote w:id="440">
    <w:p w:rsidR="004E75CF" w:rsidRPr="00954512" w:rsidRDefault="004E75CF" w:rsidP="00B611A3">
      <w:pPr>
        <w:pStyle w:val="FootnoteText"/>
        <w:jc w:val="both"/>
        <w:rPr>
          <w:rFonts w:ascii="Calibri" w:hAnsi="Calibri"/>
          <w:lang w:val="id-ID"/>
        </w:rPr>
      </w:pPr>
      <w:r w:rsidRPr="00B611A3">
        <w:rPr>
          <w:rStyle w:val="FootnoteReference"/>
          <w:rFonts w:ascii="Book Antiqua" w:hAnsi="Book Antiqua"/>
          <w:sz w:val="18"/>
          <w:szCs w:val="18"/>
        </w:rPr>
        <w:footnoteRef/>
      </w:r>
      <w:r w:rsidRPr="00B611A3">
        <w:rPr>
          <w:rFonts w:ascii="Book Antiqua" w:hAnsi="Book Antiqua"/>
          <w:sz w:val="18"/>
          <w:szCs w:val="18"/>
          <w:lang w:val="id-ID"/>
        </w:rPr>
        <w:t xml:space="preserve"> </w:t>
      </w:r>
      <w:r w:rsidRPr="00B611A3">
        <w:rPr>
          <w:rFonts w:ascii="Book Antiqua" w:hAnsi="Book Antiqua"/>
          <w:sz w:val="18"/>
          <w:szCs w:val="18"/>
        </w:rPr>
        <w:t>Sistem penegakkan hukum modern yang dijalankan peradilan selama ini justru dapat dinilai semakin berbelit-belit, sehingga mengakibatkan ketidakpastian hukum.Hal ini akibat dari banyaknya unsur dari luar hukum yang masuk dan mempengaruhi penilaian h</w:t>
      </w:r>
      <w:r w:rsidRPr="00B611A3">
        <w:rPr>
          <w:rFonts w:ascii="Book Antiqua" w:hAnsi="Book Antiqua"/>
          <w:sz w:val="18"/>
          <w:szCs w:val="18"/>
          <w:lang w:val="id-ID"/>
        </w:rPr>
        <w:t>u</w:t>
      </w:r>
      <w:r w:rsidRPr="00B611A3">
        <w:rPr>
          <w:rFonts w:ascii="Book Antiqua" w:hAnsi="Book Antiqua"/>
          <w:sz w:val="18"/>
          <w:szCs w:val="18"/>
        </w:rPr>
        <w:t>kum</w:t>
      </w:r>
      <w:r w:rsidRPr="00B611A3">
        <w:rPr>
          <w:rFonts w:ascii="Book Antiqua" w:hAnsi="Book Antiqua"/>
          <w:sz w:val="18"/>
          <w:szCs w:val="18"/>
          <w:lang w:val="id-ID"/>
        </w:rPr>
        <w:t xml:space="preserve">, </w:t>
      </w:r>
      <w:r w:rsidRPr="00B611A3">
        <w:rPr>
          <w:rFonts w:ascii="Book Antiqua" w:hAnsi="Book Antiqua"/>
          <w:sz w:val="18"/>
          <w:szCs w:val="18"/>
        </w:rPr>
        <w:t>oleh karena itu diperlukan metode penilaian kompleks yang lebih sederhana, agar hukum tidak kehilangan legitimasinya dalam memberikan putusan.Anthony J. Casey &amp; Julia Simon Kerr, “A Simple Theory Of Complex Valuation”, Michigan Law Review, Vol. 113, hlm. 1175,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256D0"/>
    <w:multiLevelType w:val="hybridMultilevel"/>
    <w:tmpl w:val="5A68B0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6754C"/>
    <w:multiLevelType w:val="hybridMultilevel"/>
    <w:tmpl w:val="C51EAB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FF7384"/>
    <w:multiLevelType w:val="hybridMultilevel"/>
    <w:tmpl w:val="BADAF3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99002DE"/>
    <w:multiLevelType w:val="hybridMultilevel"/>
    <w:tmpl w:val="0C069578"/>
    <w:lvl w:ilvl="0" w:tplc="856624B8">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nsid w:val="255975E2"/>
    <w:multiLevelType w:val="hybridMultilevel"/>
    <w:tmpl w:val="7D12A8F6"/>
    <w:lvl w:ilvl="0" w:tplc="34C02916">
      <w:start w:val="1"/>
      <w:numFmt w:val="decimal"/>
      <w:lvlText w:val="%1."/>
      <w:lvlJc w:val="left"/>
      <w:pPr>
        <w:ind w:left="720" w:hanging="360"/>
      </w:pPr>
      <w:rPr>
        <w:rFonts w:ascii="Times New Roman" w:hAnsi="Times New Roman" w:cs="Times New Roman" w:hint="default"/>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3300528A"/>
    <w:multiLevelType w:val="hybridMultilevel"/>
    <w:tmpl w:val="074C304C"/>
    <w:lvl w:ilvl="0" w:tplc="4DF05A38">
      <w:start w:val="1"/>
      <w:numFmt w:val="lowerLetter"/>
      <w:lvlText w:val="%1."/>
      <w:lvlJc w:val="left"/>
      <w:pPr>
        <w:ind w:left="1440" w:hanging="360"/>
      </w:pPr>
      <w:rPr>
        <w:rFonts w:ascii="Arial" w:eastAsiaTheme="minorHAnsi"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3EC1313B"/>
    <w:multiLevelType w:val="hybridMultilevel"/>
    <w:tmpl w:val="B714E934"/>
    <w:lvl w:ilvl="0" w:tplc="0B446C50">
      <w:start w:val="1"/>
      <w:numFmt w:val="decimal"/>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7">
    <w:nsid w:val="4915749A"/>
    <w:multiLevelType w:val="hybridMultilevel"/>
    <w:tmpl w:val="D1820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B390B5B"/>
    <w:multiLevelType w:val="hybridMultilevel"/>
    <w:tmpl w:val="16A86F80"/>
    <w:lvl w:ilvl="0" w:tplc="62E2D8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65AC4338"/>
    <w:multiLevelType w:val="hybridMultilevel"/>
    <w:tmpl w:val="D130B8E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EE92484"/>
    <w:multiLevelType w:val="hybridMultilevel"/>
    <w:tmpl w:val="2D9C0764"/>
    <w:lvl w:ilvl="0" w:tplc="87C4D4E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704D17AE"/>
    <w:multiLevelType w:val="hybridMultilevel"/>
    <w:tmpl w:val="372AC16C"/>
    <w:lvl w:ilvl="0" w:tplc="D92E5830">
      <w:start w:val="1"/>
      <w:numFmt w:val="decimal"/>
      <w:lvlText w:val="%1."/>
      <w:lvlJc w:val="left"/>
      <w:pPr>
        <w:ind w:left="1080" w:hanging="360"/>
      </w:pPr>
      <w:rPr>
        <w:rFonts w:ascii="Calibri" w:eastAsiaTheme="minorHAnsi" w:hAnsi="Calibri"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1"/>
  </w:num>
  <w:num w:numId="2">
    <w:abstractNumId w:val="5"/>
  </w:num>
  <w:num w:numId="3">
    <w:abstractNumId w:val="10"/>
  </w:num>
  <w:num w:numId="4">
    <w:abstractNumId w:val="7"/>
  </w:num>
  <w:num w:numId="5">
    <w:abstractNumId w:val="9"/>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8"/>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useFELayout/>
  </w:compat>
  <w:rsids>
    <w:rsidRoot w:val="00447F81"/>
    <w:rsid w:val="0001073F"/>
    <w:rsid w:val="000E3427"/>
    <w:rsid w:val="00163DFA"/>
    <w:rsid w:val="001B044C"/>
    <w:rsid w:val="001F54D0"/>
    <w:rsid w:val="001F6DA7"/>
    <w:rsid w:val="001F77CE"/>
    <w:rsid w:val="002145C9"/>
    <w:rsid w:val="002464B0"/>
    <w:rsid w:val="00264784"/>
    <w:rsid w:val="002B0EFC"/>
    <w:rsid w:val="0030390C"/>
    <w:rsid w:val="00307122"/>
    <w:rsid w:val="0031085F"/>
    <w:rsid w:val="00331D00"/>
    <w:rsid w:val="00346169"/>
    <w:rsid w:val="00375CE6"/>
    <w:rsid w:val="003E4EE6"/>
    <w:rsid w:val="00420161"/>
    <w:rsid w:val="00447F81"/>
    <w:rsid w:val="00451FDB"/>
    <w:rsid w:val="0048233C"/>
    <w:rsid w:val="004E75CF"/>
    <w:rsid w:val="004E78AE"/>
    <w:rsid w:val="005130E7"/>
    <w:rsid w:val="0054225D"/>
    <w:rsid w:val="005B2FC8"/>
    <w:rsid w:val="005D518C"/>
    <w:rsid w:val="0063725A"/>
    <w:rsid w:val="006A0DAB"/>
    <w:rsid w:val="006B2595"/>
    <w:rsid w:val="006E1248"/>
    <w:rsid w:val="006E51CB"/>
    <w:rsid w:val="00704DEF"/>
    <w:rsid w:val="007C7B36"/>
    <w:rsid w:val="008258F9"/>
    <w:rsid w:val="008429BD"/>
    <w:rsid w:val="008577B2"/>
    <w:rsid w:val="008803F8"/>
    <w:rsid w:val="008A0F12"/>
    <w:rsid w:val="008D2507"/>
    <w:rsid w:val="008F455D"/>
    <w:rsid w:val="00A03BF1"/>
    <w:rsid w:val="00A4293C"/>
    <w:rsid w:val="00A500E3"/>
    <w:rsid w:val="00A538A5"/>
    <w:rsid w:val="00A763DC"/>
    <w:rsid w:val="00A9337F"/>
    <w:rsid w:val="00AB0F50"/>
    <w:rsid w:val="00B168C3"/>
    <w:rsid w:val="00B16E59"/>
    <w:rsid w:val="00B240CE"/>
    <w:rsid w:val="00B55B59"/>
    <w:rsid w:val="00B611A3"/>
    <w:rsid w:val="00B80301"/>
    <w:rsid w:val="00B9042B"/>
    <w:rsid w:val="00BA3FB1"/>
    <w:rsid w:val="00BC24EA"/>
    <w:rsid w:val="00BC5130"/>
    <w:rsid w:val="00C133B5"/>
    <w:rsid w:val="00C13745"/>
    <w:rsid w:val="00C3079F"/>
    <w:rsid w:val="00C35E4F"/>
    <w:rsid w:val="00CD411E"/>
    <w:rsid w:val="00CD6713"/>
    <w:rsid w:val="00D20AF2"/>
    <w:rsid w:val="00D214B3"/>
    <w:rsid w:val="00D521E1"/>
    <w:rsid w:val="00D53458"/>
    <w:rsid w:val="00D72575"/>
    <w:rsid w:val="00D76105"/>
    <w:rsid w:val="00DB67E0"/>
    <w:rsid w:val="00DC0820"/>
    <w:rsid w:val="00DF2155"/>
    <w:rsid w:val="00E24C02"/>
    <w:rsid w:val="00EA24BC"/>
    <w:rsid w:val="00ED479A"/>
    <w:rsid w:val="00F865BB"/>
    <w:rsid w:val="00FF55B2"/>
    <w:rsid w:val="00FF5BD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Straight Arrow Connector 144"/>
        <o:r id="V:Rule15" type="connector" idref="#Straight Arrow Connector 146"/>
        <o:r id="V:Rule16" type="connector" idref="#Straight Arrow Connector 135"/>
        <o:r id="V:Rule17" type="connector" idref="#Straight Arrow Connector 155"/>
        <o:r id="V:Rule18" type="connector" idref="#Straight Arrow Connector 142"/>
        <o:r id="V:Rule19" type="connector" idref="#Straight Arrow Connector 128"/>
        <o:r id="V:Rule20" type="connector" idref="#Straight Arrow Connector 126"/>
        <o:r id="V:Rule21" type="connector" idref="#Straight Arrow Connector 157"/>
        <o:r id="V:Rule22" type="connector" idref="#Elbow Connector 159"/>
        <o:r id="V:Rule23" type="connector" idref="#Straight Arrow Connector 150"/>
        <o:r id="V:Rule24" type="connector" idref="#Straight Arrow Connector 145"/>
        <o:r id="V:Rule25" type="connector" idref="#Straight Arrow Connector 143"/>
        <o:r id="V:Rule26" type="connector" idref="#Elbow Connector 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7B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7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F81"/>
    <w:rPr>
      <w:rFonts w:ascii="Tahoma" w:hAnsi="Tahoma" w:cs="Tahoma"/>
      <w:sz w:val="16"/>
      <w:szCs w:val="16"/>
    </w:rPr>
  </w:style>
  <w:style w:type="paragraph" w:styleId="Header">
    <w:name w:val="header"/>
    <w:basedOn w:val="Normal"/>
    <w:link w:val="HeaderChar"/>
    <w:uiPriority w:val="99"/>
    <w:unhideWhenUsed/>
    <w:rsid w:val="00010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73F"/>
  </w:style>
  <w:style w:type="paragraph" w:styleId="Footer">
    <w:name w:val="footer"/>
    <w:basedOn w:val="Normal"/>
    <w:link w:val="FooterChar"/>
    <w:uiPriority w:val="99"/>
    <w:unhideWhenUsed/>
    <w:rsid w:val="00010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73F"/>
  </w:style>
  <w:style w:type="paragraph" w:styleId="FootnoteText">
    <w:name w:val="footnote text"/>
    <w:basedOn w:val="Normal"/>
    <w:link w:val="FootnoteTextChar"/>
    <w:uiPriority w:val="99"/>
    <w:unhideWhenUsed/>
    <w:rsid w:val="008F455D"/>
    <w:pPr>
      <w:spacing w:after="0" w:line="240" w:lineRule="auto"/>
    </w:pPr>
    <w:rPr>
      <w:rFonts w:eastAsiaTheme="minorHAnsi"/>
      <w:sz w:val="20"/>
      <w:szCs w:val="20"/>
      <w:lang w:val="en-GB" w:eastAsia="en-US"/>
    </w:rPr>
  </w:style>
  <w:style w:type="character" w:customStyle="1" w:styleId="FootnoteTextChar">
    <w:name w:val="Footnote Text Char"/>
    <w:basedOn w:val="DefaultParagraphFont"/>
    <w:link w:val="FootnoteText"/>
    <w:uiPriority w:val="99"/>
    <w:rsid w:val="008F455D"/>
    <w:rPr>
      <w:rFonts w:eastAsiaTheme="minorHAnsi"/>
      <w:sz w:val="20"/>
      <w:szCs w:val="20"/>
      <w:lang w:val="en-GB" w:eastAsia="en-US"/>
    </w:rPr>
  </w:style>
  <w:style w:type="character" w:styleId="FootnoteReference">
    <w:name w:val="footnote reference"/>
    <w:basedOn w:val="DefaultParagraphFont"/>
    <w:uiPriority w:val="99"/>
    <w:semiHidden/>
    <w:unhideWhenUsed/>
    <w:rsid w:val="008F455D"/>
    <w:rPr>
      <w:vertAlign w:val="superscript"/>
    </w:rPr>
  </w:style>
  <w:style w:type="paragraph" w:styleId="ListParagraph">
    <w:name w:val="List Paragraph"/>
    <w:basedOn w:val="Normal"/>
    <w:uiPriority w:val="34"/>
    <w:qFormat/>
    <w:rsid w:val="00346169"/>
    <w:pPr>
      <w:ind w:left="720"/>
      <w:contextualSpacing/>
    </w:pPr>
    <w:rPr>
      <w:rFonts w:eastAsiaTheme="minorHAnsi"/>
      <w:lang w:val="en-GB" w:eastAsia="en-US"/>
    </w:rPr>
  </w:style>
  <w:style w:type="paragraph" w:customStyle="1" w:styleId="Default">
    <w:name w:val="Default"/>
    <w:rsid w:val="00346169"/>
    <w:pPr>
      <w:autoSpaceDE w:val="0"/>
      <w:autoSpaceDN w:val="0"/>
      <w:adjustRightInd w:val="0"/>
      <w:spacing w:after="0" w:line="240" w:lineRule="auto"/>
    </w:pPr>
    <w:rPr>
      <w:rFonts w:ascii="Jamia" w:eastAsiaTheme="minorHAnsi" w:hAnsi="Jamia" w:cs="Jamia"/>
      <w:color w:val="000000"/>
      <w:sz w:val="24"/>
      <w:szCs w:val="24"/>
      <w:lang w:val="en-GB" w:eastAsia="en-US"/>
    </w:rPr>
  </w:style>
  <w:style w:type="paragraph" w:customStyle="1" w:styleId="Pa2">
    <w:name w:val="Pa2"/>
    <w:basedOn w:val="Default"/>
    <w:next w:val="Default"/>
    <w:uiPriority w:val="99"/>
    <w:rsid w:val="00346169"/>
    <w:pPr>
      <w:spacing w:line="241" w:lineRule="atLeast"/>
    </w:pPr>
    <w:rPr>
      <w:rFonts w:cstheme="minorBidi"/>
      <w:color w:val="auto"/>
    </w:rPr>
  </w:style>
  <w:style w:type="character" w:customStyle="1" w:styleId="A6">
    <w:name w:val="A6"/>
    <w:uiPriority w:val="99"/>
    <w:rsid w:val="00346169"/>
    <w:rPr>
      <w:rFonts w:cs="Jamia"/>
      <w:color w:val="000000"/>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TotalTime>
  <Pages>269</Pages>
  <Words>71601</Words>
  <Characters>408131</Characters>
  <Application>Microsoft Office Word</Application>
  <DocSecurity>0</DocSecurity>
  <Lines>3401</Lines>
  <Paragraphs>957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dwi</dc:creator>
  <cp:keywords/>
  <dc:description/>
  <cp:lastModifiedBy>bu dwi</cp:lastModifiedBy>
  <cp:revision>75</cp:revision>
  <dcterms:created xsi:type="dcterms:W3CDTF">2020-02-12T01:28:00Z</dcterms:created>
  <dcterms:modified xsi:type="dcterms:W3CDTF">2020-05-14T03:30:00Z</dcterms:modified>
</cp:coreProperties>
</file>