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746BD" w14:textId="7C39FE21" w:rsidR="00505DD5" w:rsidRPr="000B3DEE" w:rsidRDefault="004C0786" w:rsidP="00363181">
      <w:pPr>
        <w:spacing w:after="160"/>
        <w:rPr>
          <w:b/>
          <w:color w:val="000000"/>
          <w:sz w:val="32"/>
          <w:szCs w:val="32"/>
        </w:rPr>
      </w:pPr>
      <w:r w:rsidRPr="000B3DEE">
        <w:rPr>
          <w:b/>
          <w:bCs/>
          <w:color w:val="00B050"/>
          <w:sz w:val="32"/>
          <w:szCs w:val="32"/>
        </w:rPr>
        <w:t xml:space="preserve">Sorogan-Based Learning </w:t>
      </w:r>
      <w:proofErr w:type="gramStart"/>
      <w:r w:rsidRPr="000B3DEE">
        <w:rPr>
          <w:b/>
          <w:bCs/>
          <w:color w:val="00B050"/>
          <w:sz w:val="32"/>
          <w:szCs w:val="32"/>
        </w:rPr>
        <w:t>To</w:t>
      </w:r>
      <w:proofErr w:type="gramEnd"/>
      <w:r w:rsidRPr="000B3DEE">
        <w:rPr>
          <w:b/>
          <w:bCs/>
          <w:color w:val="00B050"/>
          <w:sz w:val="32"/>
          <w:szCs w:val="32"/>
        </w:rPr>
        <w:t xml:space="preserve"> Stimulate Early Counting Skills</w:t>
      </w:r>
    </w:p>
    <w:p w14:paraId="6CA17F73" w14:textId="76C4A391" w:rsidR="00505DD5" w:rsidRPr="000B3DEE" w:rsidRDefault="003F7E02">
      <w:pPr>
        <w:spacing w:before="0" w:line="240" w:lineRule="auto"/>
        <w:jc w:val="right"/>
        <w:rPr>
          <w:b/>
        </w:rPr>
      </w:pPr>
      <w:r w:rsidRPr="000B3DEE">
        <w:rPr>
          <w:noProof/>
          <w:lang w:val="en-US" w:eastAsia="en-US"/>
        </w:rPr>
        <w:drawing>
          <wp:anchor distT="0" distB="0" distL="114300" distR="114300" simplePos="0" relativeHeight="251658752" behindDoc="0" locked="0" layoutInCell="1" hidden="0" allowOverlap="1" wp14:anchorId="2E8A6CB2" wp14:editId="318A9CA6">
            <wp:simplePos x="0" y="0"/>
            <wp:positionH relativeFrom="column">
              <wp:posOffset>5464175</wp:posOffset>
            </wp:positionH>
            <wp:positionV relativeFrom="paragraph">
              <wp:posOffset>170815</wp:posOffset>
            </wp:positionV>
            <wp:extent cx="403225" cy="234950"/>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03225" cy="234950"/>
                    </a:xfrm>
                    <a:prstGeom prst="rect">
                      <a:avLst/>
                    </a:prstGeom>
                    <a:ln/>
                  </pic:spPr>
                </pic:pic>
              </a:graphicData>
            </a:graphic>
          </wp:anchor>
        </w:drawing>
      </w:r>
    </w:p>
    <w:p w14:paraId="347980C7" w14:textId="209106F5" w:rsidR="003F7E02" w:rsidRPr="000B3DEE" w:rsidRDefault="00ED1F43">
      <w:pPr>
        <w:shd w:val="clear" w:color="auto" w:fill="002060"/>
        <w:spacing w:before="0" w:line="240" w:lineRule="auto"/>
        <w:ind w:right="-2"/>
        <w:rPr>
          <w:sz w:val="18"/>
          <w:szCs w:val="18"/>
          <w:vertAlign w:val="superscript"/>
        </w:rPr>
      </w:pPr>
      <w:bookmarkStart w:id="0" w:name="_heading=h.gjdgxs" w:colFirst="0" w:colLast="0"/>
      <w:bookmarkEnd w:id="0"/>
      <w:r w:rsidRPr="000B3DEE">
        <w:rPr>
          <w:b/>
        </w:rPr>
        <w:t>Osfir Candikia Rara Komara</w:t>
      </w:r>
      <w:r w:rsidRPr="000B3DEE">
        <w:rPr>
          <w:b/>
          <w:vertAlign w:val="superscript"/>
        </w:rPr>
        <w:t>1</w:t>
      </w:r>
      <w:r w:rsidRPr="000B3DEE">
        <w:rPr>
          <w:b/>
        </w:rPr>
        <w:t>,</w:t>
      </w:r>
      <w:r w:rsidRPr="000B3DEE">
        <w:t xml:space="preserve"> </w:t>
      </w:r>
      <w:r w:rsidRPr="000B3DEE">
        <w:rPr>
          <w:b/>
        </w:rPr>
        <w:t>Sumaji</w:t>
      </w:r>
      <w:r w:rsidRPr="000B3DEE">
        <w:rPr>
          <w:b/>
          <w:vertAlign w:val="superscript"/>
        </w:rPr>
        <w:t>2</w:t>
      </w:r>
      <w:r w:rsidR="003F7E02" w:rsidRPr="000B3DEE">
        <w:rPr>
          <w:b/>
          <w:vertAlign w:val="superscript"/>
        </w:rPr>
        <w:t>*</w:t>
      </w:r>
      <w:r w:rsidRPr="000B3DEE">
        <w:rPr>
          <w:b/>
        </w:rPr>
        <w:t>, Wahyudi</w:t>
      </w:r>
      <w:r w:rsidRPr="000B3DEE">
        <w:rPr>
          <w:b/>
          <w:vertAlign w:val="superscript"/>
        </w:rPr>
        <w:t>3</w:t>
      </w:r>
      <w:r w:rsidRPr="000B3DEE">
        <w:rPr>
          <w:b/>
        </w:rPr>
        <w:t>, Ahmad Azzam Al Qoyyimuddin</w:t>
      </w:r>
      <w:r w:rsidR="003F7E02" w:rsidRPr="000B3DEE">
        <w:rPr>
          <w:b/>
          <w:vertAlign w:val="superscript"/>
        </w:rPr>
        <w:t>4</w:t>
      </w:r>
      <w:r w:rsidRPr="000B3DEE">
        <w:rPr>
          <w:sz w:val="18"/>
          <w:szCs w:val="18"/>
          <w:vertAlign w:val="superscript"/>
        </w:rPr>
        <w:t xml:space="preserve"> </w:t>
      </w:r>
    </w:p>
    <w:p w14:paraId="5FEF2B53" w14:textId="77777777" w:rsidR="003F7E02" w:rsidRPr="000B3DEE" w:rsidRDefault="003F7E02" w:rsidP="003F7E02">
      <w:pPr>
        <w:shd w:val="clear" w:color="auto" w:fill="002060"/>
        <w:spacing w:before="0" w:line="240" w:lineRule="auto"/>
        <w:ind w:right="-2"/>
        <w:rPr>
          <w:sz w:val="18"/>
          <w:szCs w:val="18"/>
        </w:rPr>
      </w:pPr>
      <w:r w:rsidRPr="000B3DEE">
        <w:rPr>
          <w:sz w:val="18"/>
          <w:szCs w:val="18"/>
          <w:vertAlign w:val="superscript"/>
        </w:rPr>
        <w:t>1,2,3</w:t>
      </w:r>
      <w:r w:rsidRPr="000B3DEE">
        <w:rPr>
          <w:sz w:val="18"/>
          <w:szCs w:val="18"/>
        </w:rPr>
        <w:t xml:space="preserve"> Mathematics Education, Faculty of Teacher Training and Education, Muhammadiyah University of Ponorogo, Ponorogo, Indonesia</w:t>
      </w:r>
    </w:p>
    <w:p w14:paraId="33FC08EC" w14:textId="7F7800F7" w:rsidR="00505DD5" w:rsidRPr="000B3DEE" w:rsidRDefault="003F7E02">
      <w:pPr>
        <w:shd w:val="clear" w:color="auto" w:fill="002060"/>
        <w:spacing w:before="0" w:line="240" w:lineRule="auto"/>
        <w:ind w:right="-2"/>
        <w:rPr>
          <w:sz w:val="18"/>
          <w:szCs w:val="18"/>
        </w:rPr>
      </w:pPr>
      <w:r w:rsidRPr="000B3DEE">
        <w:rPr>
          <w:sz w:val="18"/>
          <w:szCs w:val="18"/>
          <w:vertAlign w:val="superscript"/>
        </w:rPr>
        <w:t>4</w:t>
      </w:r>
      <w:r w:rsidRPr="000B3DEE">
        <w:rPr>
          <w:sz w:val="18"/>
          <w:szCs w:val="18"/>
        </w:rPr>
        <w:t xml:space="preserve"> Learning Centre Permai, 12 G-2 Tun </w:t>
      </w:r>
      <w:proofErr w:type="gramStart"/>
      <w:r w:rsidRPr="000B3DEE">
        <w:rPr>
          <w:sz w:val="18"/>
          <w:szCs w:val="18"/>
        </w:rPr>
        <w:t>Dr.Awang</w:t>
      </w:r>
      <w:proofErr w:type="gramEnd"/>
      <w:r w:rsidRPr="000B3DEE">
        <w:rPr>
          <w:sz w:val="18"/>
          <w:szCs w:val="18"/>
        </w:rPr>
        <w:t xml:space="preserve"> Street, Bukit Jambul, 11900 Penang, Malaysia</w:t>
      </w:r>
    </w:p>
    <w:p w14:paraId="66EF06C5" w14:textId="77777777" w:rsidR="00505DD5" w:rsidRPr="000B3DEE" w:rsidRDefault="00505DD5">
      <w:pPr>
        <w:pBdr>
          <w:top w:val="nil"/>
          <w:left w:val="nil"/>
          <w:bottom w:val="single" w:sz="4" w:space="1" w:color="000000"/>
          <w:right w:val="nil"/>
          <w:between w:val="nil"/>
        </w:pBdr>
        <w:spacing w:before="0" w:line="240" w:lineRule="auto"/>
        <w:ind w:right="-2"/>
        <w:jc w:val="left"/>
        <w:rPr>
          <w:rFonts w:ascii="Cambria" w:eastAsia="Cambria" w:hAnsi="Cambria" w:cs="Cambria"/>
          <w:i/>
          <w:color w:val="000000"/>
          <w:sz w:val="16"/>
          <w:szCs w:val="16"/>
        </w:rPr>
      </w:pPr>
    </w:p>
    <w:p w14:paraId="7AE3A6E1" w14:textId="77777777" w:rsidR="00505DD5" w:rsidRPr="000B3DEE" w:rsidRDefault="009D73D5">
      <w:pPr>
        <w:pBdr>
          <w:bottom w:val="single" w:sz="4" w:space="1" w:color="000000"/>
        </w:pBdr>
        <w:rPr>
          <w:rFonts w:ascii="Cambria" w:eastAsia="Cambria" w:hAnsi="Cambria" w:cs="Cambria"/>
          <w:b/>
          <w:sz w:val="18"/>
          <w:szCs w:val="18"/>
        </w:rPr>
      </w:pPr>
      <w:r w:rsidRPr="000B3DEE">
        <w:rPr>
          <w:rFonts w:ascii="Cambria" w:eastAsia="Cambria" w:hAnsi="Cambria" w:cs="Cambria"/>
          <w:b/>
          <w:sz w:val="18"/>
          <w:szCs w:val="18"/>
        </w:rPr>
        <w:t>A B S T R A K</w:t>
      </w:r>
      <w:r w:rsidRPr="000B3DEE">
        <w:rPr>
          <w:noProof/>
          <w:lang w:val="en-US" w:eastAsia="en-US"/>
        </w:rPr>
        <mc:AlternateContent>
          <mc:Choice Requires="wps">
            <w:drawing>
              <wp:anchor distT="45720" distB="45720" distL="114300" distR="114300" simplePos="0" relativeHeight="251659264" behindDoc="0" locked="0" layoutInCell="1" hidden="0" allowOverlap="1" wp14:anchorId="23FC00DE" wp14:editId="15BA187F">
                <wp:simplePos x="0" y="0"/>
                <wp:positionH relativeFrom="column">
                  <wp:posOffset>1</wp:posOffset>
                </wp:positionH>
                <wp:positionV relativeFrom="paragraph">
                  <wp:posOffset>134620</wp:posOffset>
                </wp:positionV>
                <wp:extent cx="1582420" cy="2635885"/>
                <wp:effectExtent l="0" t="0" r="0" b="0"/>
                <wp:wrapSquare wrapText="bothSides" distT="45720" distB="45720" distL="114300" distR="114300"/>
                <wp:docPr id="8" name="Rectangle 8"/>
                <wp:cNvGraphicFramePr/>
                <a:graphic xmlns:a="http://schemas.openxmlformats.org/drawingml/2006/main">
                  <a:graphicData uri="http://schemas.microsoft.com/office/word/2010/wordprocessingShape">
                    <wps:wsp>
                      <wps:cNvSpPr/>
                      <wps:spPr>
                        <a:xfrm>
                          <a:off x="4559553" y="2466820"/>
                          <a:ext cx="1572895" cy="2626360"/>
                        </a:xfrm>
                        <a:prstGeom prst="rect">
                          <a:avLst/>
                        </a:prstGeom>
                        <a:solidFill>
                          <a:srgbClr val="FFFFFF"/>
                        </a:solidFill>
                        <a:ln>
                          <a:noFill/>
                        </a:ln>
                      </wps:spPr>
                      <wps:txbx>
                        <w:txbxContent>
                          <w:p w14:paraId="622D7039" w14:textId="77777777" w:rsidR="00505DD5" w:rsidRDefault="009D73D5">
                            <w:pPr>
                              <w:spacing w:before="0" w:line="240" w:lineRule="auto"/>
                              <w:textDirection w:val="btLr"/>
                            </w:pPr>
                            <w:r>
                              <w:rPr>
                                <w:b/>
                                <w:color w:val="000000"/>
                                <w:sz w:val="18"/>
                              </w:rPr>
                              <w:t>A R T I C L E I N F O</w:t>
                            </w:r>
                          </w:p>
                          <w:p w14:paraId="0437202A" w14:textId="77777777" w:rsidR="00505DD5" w:rsidRDefault="009D73D5">
                            <w:pPr>
                              <w:spacing w:before="0" w:line="240" w:lineRule="auto"/>
                              <w:textDirection w:val="btLr"/>
                            </w:pPr>
                            <w:r>
                              <w:rPr>
                                <w:b/>
                                <w:i/>
                                <w:color w:val="000000"/>
                                <w:sz w:val="16"/>
                              </w:rPr>
                              <w:t>Article history:</w:t>
                            </w:r>
                          </w:p>
                          <w:p w14:paraId="51D99C7C" w14:textId="77777777" w:rsidR="00505DD5" w:rsidRDefault="009D73D5">
                            <w:pPr>
                              <w:spacing w:before="0" w:line="240" w:lineRule="auto"/>
                              <w:textDirection w:val="btLr"/>
                            </w:pPr>
                            <w:r>
                              <w:rPr>
                                <w:color w:val="000000"/>
                                <w:sz w:val="16"/>
                              </w:rPr>
                              <w:t>25 Maret 2021</w:t>
                            </w:r>
                          </w:p>
                          <w:p w14:paraId="245527DA" w14:textId="77777777" w:rsidR="00505DD5" w:rsidRDefault="009D73D5">
                            <w:pPr>
                              <w:spacing w:before="0" w:line="240" w:lineRule="auto"/>
                              <w:textDirection w:val="btLr"/>
                            </w:pPr>
                            <w:r>
                              <w:rPr>
                                <w:color w:val="000000"/>
                                <w:sz w:val="16"/>
                              </w:rPr>
                              <w:t>Received in revised form</w:t>
                            </w:r>
                          </w:p>
                          <w:p w14:paraId="71E691C3" w14:textId="77777777" w:rsidR="00505DD5" w:rsidRDefault="009D73D5">
                            <w:pPr>
                              <w:spacing w:before="0" w:line="240" w:lineRule="auto"/>
                              <w:textDirection w:val="btLr"/>
                            </w:pPr>
                            <w:r>
                              <w:rPr>
                                <w:color w:val="000000"/>
                                <w:sz w:val="16"/>
                              </w:rPr>
                              <w:t>01 April 2021</w:t>
                            </w:r>
                          </w:p>
                          <w:p w14:paraId="3572CF31" w14:textId="77777777" w:rsidR="00505DD5" w:rsidRDefault="009D73D5">
                            <w:pPr>
                              <w:spacing w:before="0" w:line="240" w:lineRule="auto"/>
                              <w:textDirection w:val="btLr"/>
                            </w:pPr>
                            <w:r>
                              <w:rPr>
                                <w:color w:val="000000"/>
                                <w:sz w:val="16"/>
                              </w:rPr>
                              <w:t>Accepted 1 Mei 2021</w:t>
                            </w:r>
                          </w:p>
                          <w:p w14:paraId="10834D44" w14:textId="77777777" w:rsidR="00505DD5" w:rsidRDefault="009D73D5">
                            <w:pPr>
                              <w:spacing w:before="0" w:line="240" w:lineRule="auto"/>
                              <w:textDirection w:val="btLr"/>
                            </w:pPr>
                            <w:r>
                              <w:rPr>
                                <w:color w:val="000000"/>
                                <w:sz w:val="16"/>
                              </w:rPr>
                              <w:t>Available online 28 Mei 2021</w:t>
                            </w:r>
                          </w:p>
                          <w:p w14:paraId="1837E19A" w14:textId="77777777" w:rsidR="00505DD5" w:rsidRDefault="00505DD5">
                            <w:pPr>
                              <w:spacing w:before="0" w:line="240" w:lineRule="auto"/>
                              <w:textDirection w:val="btLr"/>
                            </w:pPr>
                          </w:p>
                          <w:p w14:paraId="32D697C1" w14:textId="77777777" w:rsidR="00505DD5" w:rsidRDefault="009D73D5">
                            <w:pPr>
                              <w:spacing w:before="0" w:line="240" w:lineRule="auto"/>
                              <w:textDirection w:val="btLr"/>
                            </w:pPr>
                            <w:r>
                              <w:rPr>
                                <w:b/>
                                <w:i/>
                                <w:color w:val="000000"/>
                                <w:sz w:val="16"/>
                              </w:rPr>
                              <w:t>Kata Kunci:</w:t>
                            </w:r>
                          </w:p>
                          <w:p w14:paraId="6D88938A" w14:textId="35B8549C" w:rsidR="00505DD5" w:rsidRDefault="00C56022">
                            <w:pPr>
                              <w:spacing w:before="0" w:line="240" w:lineRule="auto"/>
                              <w:textDirection w:val="btLr"/>
                            </w:pPr>
                            <w:r>
                              <w:rPr>
                                <w:i/>
                                <w:color w:val="000000"/>
                                <w:sz w:val="16"/>
                              </w:rPr>
                              <w:t xml:space="preserve">Keterampilan Berhitung, </w:t>
                            </w:r>
                            <w:r w:rsidR="00BF4474">
                              <w:rPr>
                                <w:i/>
                                <w:color w:val="000000"/>
                                <w:sz w:val="16"/>
                              </w:rPr>
                              <w:t xml:space="preserve">Sorogan, Lembar Kerja Siswa </w:t>
                            </w:r>
                            <w:r>
                              <w:rPr>
                                <w:i/>
                                <w:color w:val="000000"/>
                                <w:sz w:val="16"/>
                              </w:rPr>
                              <w:t>Pembelajaran Matematika</w:t>
                            </w:r>
                          </w:p>
                          <w:p w14:paraId="2B90F977" w14:textId="77777777" w:rsidR="00505DD5" w:rsidRDefault="00505DD5">
                            <w:pPr>
                              <w:spacing w:before="0" w:line="240" w:lineRule="auto"/>
                              <w:textDirection w:val="btLr"/>
                            </w:pPr>
                          </w:p>
                          <w:p w14:paraId="73BF0618" w14:textId="77777777" w:rsidR="00505DD5" w:rsidRDefault="009D73D5">
                            <w:pPr>
                              <w:spacing w:before="0" w:line="240" w:lineRule="auto"/>
                              <w:textDirection w:val="btLr"/>
                            </w:pPr>
                            <w:r>
                              <w:rPr>
                                <w:b/>
                                <w:i/>
                                <w:color w:val="000000"/>
                                <w:sz w:val="16"/>
                              </w:rPr>
                              <w:t>Keywords:</w:t>
                            </w:r>
                          </w:p>
                          <w:p w14:paraId="0259CBF2" w14:textId="254C2964" w:rsidR="00505DD5" w:rsidRDefault="00910F8A">
                            <w:pPr>
                              <w:spacing w:before="0" w:line="240" w:lineRule="auto"/>
                              <w:jc w:val="left"/>
                              <w:textDirection w:val="btLr"/>
                            </w:pPr>
                            <w:r>
                              <w:rPr>
                                <w:i/>
                                <w:color w:val="000000"/>
                                <w:sz w:val="16"/>
                              </w:rPr>
                              <w:t xml:space="preserve">Counting Skills, </w:t>
                            </w:r>
                            <w:r w:rsidR="00BF4474">
                              <w:rPr>
                                <w:i/>
                                <w:color w:val="000000"/>
                                <w:sz w:val="16"/>
                              </w:rPr>
                              <w:t xml:space="preserve">Sorogan, Student Worksheet, </w:t>
                            </w:r>
                            <w:r>
                              <w:rPr>
                                <w:i/>
                                <w:color w:val="000000"/>
                                <w:sz w:val="16"/>
                              </w:rPr>
                              <w:t>Mathematic’s Learning</w:t>
                            </w:r>
                          </w:p>
                          <w:p w14:paraId="49F1B4E4" w14:textId="77777777" w:rsidR="00505DD5" w:rsidRDefault="00505DD5">
                            <w:pPr>
                              <w:spacing w:before="0" w:line="240" w:lineRule="auto"/>
                              <w:jc w:val="left"/>
                              <w:textDirection w:val="btLr"/>
                            </w:pPr>
                          </w:p>
                          <w:p w14:paraId="58B56E96" w14:textId="77777777" w:rsidR="00505DD5" w:rsidRPr="004D3E64" w:rsidRDefault="009D73D5">
                            <w:pPr>
                              <w:spacing w:before="0" w:line="240" w:lineRule="auto"/>
                              <w:jc w:val="left"/>
                              <w:textDirection w:val="btLr"/>
                              <w:rPr>
                                <w:color w:val="0070C0"/>
                                <w:sz w:val="16"/>
                                <w:szCs w:val="16"/>
                              </w:rPr>
                            </w:pPr>
                            <w:r>
                              <w:rPr>
                                <w:b/>
                                <w:color w:val="000000"/>
                                <w:sz w:val="16"/>
                              </w:rPr>
                              <w:t>DOI:</w:t>
                            </w:r>
                            <w:r>
                              <w:rPr>
                                <w:color w:val="000000"/>
                              </w:rPr>
                              <w:t xml:space="preserve"> </w:t>
                            </w:r>
                            <w:r w:rsidR="00F11F0B" w:rsidRPr="00F11F0B">
                              <w:rPr>
                                <w:color w:val="0070C0"/>
                                <w:sz w:val="16"/>
                                <w:szCs w:val="16"/>
                              </w:rPr>
                              <w:t>https://doi.org/10.23887/jlls.v5i2</w:t>
                            </w:r>
                          </w:p>
                        </w:txbxContent>
                      </wps:txbx>
                      <wps:bodyPr spcFirstLastPara="1" wrap="square" lIns="0" tIns="0" rIns="360000" bIns="0" anchor="t" anchorCtr="0">
                        <a:noAutofit/>
                      </wps:bodyPr>
                    </wps:wsp>
                  </a:graphicData>
                </a:graphic>
              </wp:anchor>
            </w:drawing>
          </mc:Choice>
          <mc:Fallback>
            <w:pict>
              <v:rect w14:anchorId="23FC00DE" id="Rectangle 8" o:spid="_x0000_s1026" style="position:absolute;left:0;text-align:left;margin-left:0;margin-top:10.6pt;width:124.6pt;height:207.5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" stroked="f">
                <v:textbox inset="0,0,10mm,0">
                  <w:txbxContent>
                    <w:p w14:paraId="622D7039" w14:textId="77777777" w:rsidR="00505DD5" w:rsidRDefault="009D73D5">
                      <w:pPr>
                        <w:spacing w:before="0" w:line="240" w:lineRule="auto"/>
                        <w:textDirection w:val="btLr"/>
                      </w:pPr>
                      <w:r>
                        <w:rPr>
                          <w:b/>
                          <w:color w:val="000000"/>
                          <w:sz w:val="18"/>
                        </w:rPr>
                        <w:t>A R T I C L E I N F O</w:t>
                      </w:r>
                    </w:p>
                    <w:p w14:paraId="0437202A" w14:textId="77777777" w:rsidR="00505DD5" w:rsidRDefault="009D73D5">
                      <w:pPr>
                        <w:spacing w:before="0" w:line="240" w:lineRule="auto"/>
                        <w:textDirection w:val="btLr"/>
                      </w:pPr>
                      <w:r>
                        <w:rPr>
                          <w:b/>
                          <w:i/>
                          <w:color w:val="000000"/>
                          <w:sz w:val="16"/>
                        </w:rPr>
                        <w:t>Article history:</w:t>
                      </w:r>
                    </w:p>
                    <w:p w14:paraId="51D99C7C" w14:textId="77777777" w:rsidR="00505DD5" w:rsidRDefault="009D73D5">
                      <w:pPr>
                        <w:spacing w:before="0" w:line="240" w:lineRule="auto"/>
                        <w:textDirection w:val="btLr"/>
                      </w:pPr>
                      <w:r>
                        <w:rPr>
                          <w:color w:val="000000"/>
                          <w:sz w:val="16"/>
                        </w:rPr>
                        <w:t>25 Maret 2021</w:t>
                      </w:r>
                    </w:p>
                    <w:p w14:paraId="245527DA" w14:textId="77777777" w:rsidR="00505DD5" w:rsidRDefault="009D73D5">
                      <w:pPr>
                        <w:spacing w:before="0" w:line="240" w:lineRule="auto"/>
                        <w:textDirection w:val="btLr"/>
                      </w:pPr>
                      <w:r>
                        <w:rPr>
                          <w:color w:val="000000"/>
                          <w:sz w:val="16"/>
                        </w:rPr>
                        <w:t>Received in revised form</w:t>
                      </w:r>
                    </w:p>
                    <w:p w14:paraId="71E691C3" w14:textId="77777777" w:rsidR="00505DD5" w:rsidRDefault="009D73D5">
                      <w:pPr>
                        <w:spacing w:before="0" w:line="240" w:lineRule="auto"/>
                        <w:textDirection w:val="btLr"/>
                      </w:pPr>
                      <w:r>
                        <w:rPr>
                          <w:color w:val="000000"/>
                          <w:sz w:val="16"/>
                        </w:rPr>
                        <w:t>01 April 2021</w:t>
                      </w:r>
                    </w:p>
                    <w:p w14:paraId="3572CF31" w14:textId="77777777" w:rsidR="00505DD5" w:rsidRDefault="009D73D5">
                      <w:pPr>
                        <w:spacing w:before="0" w:line="240" w:lineRule="auto"/>
                        <w:textDirection w:val="btLr"/>
                      </w:pPr>
                      <w:r>
                        <w:rPr>
                          <w:color w:val="000000"/>
                          <w:sz w:val="16"/>
                        </w:rPr>
                        <w:t>Accepted 1 Mei 2021</w:t>
                      </w:r>
                    </w:p>
                    <w:p w14:paraId="10834D44" w14:textId="77777777" w:rsidR="00505DD5" w:rsidRDefault="009D73D5">
                      <w:pPr>
                        <w:spacing w:before="0" w:line="240" w:lineRule="auto"/>
                        <w:textDirection w:val="btLr"/>
                      </w:pPr>
                      <w:r>
                        <w:rPr>
                          <w:color w:val="000000"/>
                          <w:sz w:val="16"/>
                        </w:rPr>
                        <w:t>Available online 28 Mei 2021</w:t>
                      </w:r>
                    </w:p>
                    <w:p w14:paraId="1837E19A" w14:textId="77777777" w:rsidR="00505DD5" w:rsidRDefault="00505DD5">
                      <w:pPr>
                        <w:spacing w:before="0" w:line="240" w:lineRule="auto"/>
                        <w:textDirection w:val="btLr"/>
                      </w:pPr>
                    </w:p>
                    <w:p w14:paraId="32D697C1" w14:textId="77777777" w:rsidR="00505DD5" w:rsidRDefault="009D73D5">
                      <w:pPr>
                        <w:spacing w:before="0" w:line="240" w:lineRule="auto"/>
                        <w:textDirection w:val="btLr"/>
                      </w:pPr>
                      <w:r>
                        <w:rPr>
                          <w:b/>
                          <w:i/>
                          <w:color w:val="000000"/>
                          <w:sz w:val="16"/>
                        </w:rPr>
                        <w:t>Kata Kunci:</w:t>
                      </w:r>
                    </w:p>
                    <w:p w14:paraId="6D88938A" w14:textId="35B8549C" w:rsidR="00505DD5" w:rsidRDefault="00C56022">
                      <w:pPr>
                        <w:spacing w:before="0" w:line="240" w:lineRule="auto"/>
                        <w:textDirection w:val="btLr"/>
                      </w:pPr>
                      <w:r>
                        <w:rPr>
                          <w:i/>
                          <w:color w:val="000000"/>
                          <w:sz w:val="16"/>
                        </w:rPr>
                        <w:t xml:space="preserve">Keterampilan Berhitung, </w:t>
                      </w:r>
                      <w:r w:rsidR="00BF4474">
                        <w:rPr>
                          <w:i/>
                          <w:color w:val="000000"/>
                          <w:sz w:val="16"/>
                        </w:rPr>
                        <w:t xml:space="preserve">Sorogan, Lembar Kerja Siswa </w:t>
                      </w:r>
                      <w:r>
                        <w:rPr>
                          <w:i/>
                          <w:color w:val="000000"/>
                          <w:sz w:val="16"/>
                        </w:rPr>
                        <w:t>Pembelajaran Matematika</w:t>
                      </w:r>
                    </w:p>
                    <w:p w14:paraId="2B90F977" w14:textId="77777777" w:rsidR="00505DD5" w:rsidRDefault="00505DD5">
                      <w:pPr>
                        <w:spacing w:before="0" w:line="240" w:lineRule="auto"/>
                        <w:textDirection w:val="btLr"/>
                      </w:pPr>
                    </w:p>
                    <w:p w14:paraId="73BF0618" w14:textId="77777777" w:rsidR="00505DD5" w:rsidRDefault="009D73D5">
                      <w:pPr>
                        <w:spacing w:before="0" w:line="240" w:lineRule="auto"/>
                        <w:textDirection w:val="btLr"/>
                      </w:pPr>
                      <w:r>
                        <w:rPr>
                          <w:b/>
                          <w:i/>
                          <w:color w:val="000000"/>
                          <w:sz w:val="16"/>
                        </w:rPr>
                        <w:t>Keywords:</w:t>
                      </w:r>
                    </w:p>
                    <w:p w14:paraId="0259CBF2" w14:textId="254C2964" w:rsidR="00505DD5" w:rsidRDefault="00910F8A">
                      <w:pPr>
                        <w:spacing w:before="0" w:line="240" w:lineRule="auto"/>
                        <w:jc w:val="left"/>
                        <w:textDirection w:val="btLr"/>
                      </w:pPr>
                      <w:r>
                        <w:rPr>
                          <w:i/>
                          <w:color w:val="000000"/>
                          <w:sz w:val="16"/>
                        </w:rPr>
                        <w:t xml:space="preserve">Counting Skills, </w:t>
                      </w:r>
                      <w:r w:rsidR="00BF4474">
                        <w:rPr>
                          <w:i/>
                          <w:color w:val="000000"/>
                          <w:sz w:val="16"/>
                        </w:rPr>
                        <w:t xml:space="preserve">Sorogan, Student Worksheet, </w:t>
                      </w:r>
                      <w:r>
                        <w:rPr>
                          <w:i/>
                          <w:color w:val="000000"/>
                          <w:sz w:val="16"/>
                        </w:rPr>
                        <w:t>Mathematic’s Learning</w:t>
                      </w:r>
                    </w:p>
                    <w:p w14:paraId="49F1B4E4" w14:textId="77777777" w:rsidR="00505DD5" w:rsidRDefault="00505DD5">
                      <w:pPr>
                        <w:spacing w:before="0" w:line="240" w:lineRule="auto"/>
                        <w:jc w:val="left"/>
                        <w:textDirection w:val="btLr"/>
                      </w:pPr>
                    </w:p>
                    <w:p w14:paraId="58B56E96" w14:textId="77777777" w:rsidR="00505DD5" w:rsidRPr="004D3E64" w:rsidRDefault="009D73D5">
                      <w:pPr>
                        <w:spacing w:before="0" w:line="240" w:lineRule="auto"/>
                        <w:jc w:val="left"/>
                        <w:textDirection w:val="btLr"/>
                        <w:rPr>
                          <w:color w:val="0070C0"/>
                          <w:sz w:val="16"/>
                          <w:szCs w:val="16"/>
                        </w:rPr>
                      </w:pPr>
                      <w:r>
                        <w:rPr>
                          <w:b/>
                          <w:color w:val="000000"/>
                          <w:sz w:val="16"/>
                        </w:rPr>
                        <w:t>DOI:</w:t>
                      </w:r>
                      <w:r>
                        <w:rPr>
                          <w:color w:val="000000"/>
                        </w:rPr>
                        <w:t xml:space="preserve"> </w:t>
                      </w:r>
                      <w:r w:rsidR="00F11F0B" w:rsidRPr="00F11F0B">
                        <w:rPr>
                          <w:color w:val="0070C0"/>
                          <w:sz w:val="16"/>
                          <w:szCs w:val="16"/>
                        </w:rPr>
                        <w:t>https://doi.org/10.23887/jlls.v5i2</w:t>
                      </w:r>
                    </w:p>
                  </w:txbxContent>
                </v:textbox>
                <w10:wrap type="square"/>
              </v:rect>
            </w:pict>
          </mc:Fallback>
        </mc:AlternateContent>
      </w:r>
    </w:p>
    <w:p w14:paraId="0A85F47C" w14:textId="376A8DCB" w:rsidR="00505DD5" w:rsidRPr="000B3DEE" w:rsidRDefault="009646D4">
      <w:pPr>
        <w:spacing w:before="0" w:line="240" w:lineRule="auto"/>
        <w:ind w:right="-2"/>
        <w:rPr>
          <w:sz w:val="18"/>
          <w:szCs w:val="18"/>
        </w:rPr>
      </w:pPr>
      <w:bookmarkStart w:id="1" w:name="_Hlk158071493"/>
      <w:r w:rsidRPr="000B3DEE">
        <w:rPr>
          <w:color w:val="000000"/>
          <w:sz w:val="18"/>
          <w:szCs w:val="18"/>
        </w:rPr>
        <w:t>Masalah yang dibahas di sini adalah upaya untuk mengubah metode pengajaran konvensional (ceramah) pada tahap pembelajaran berhitung permulaan menuju pendekatan pembelajaran yang lebih dapat memfasilitasi kebutuhan belajar anak dan menciptakan pembelajaran yang bermakna.</w:t>
      </w:r>
      <w:r w:rsidR="00935A83" w:rsidRPr="000B3DEE">
        <w:rPr>
          <w:color w:val="000000"/>
          <w:sz w:val="18"/>
          <w:szCs w:val="18"/>
        </w:rPr>
        <w:t xml:space="preserve"> Kemampuan berhitung permulaan merupakan kemampuan dasar yang penting bagi siswa untuk dapat menjawab dan memahami persoalan matematika lebih lanjut, meliputi pengenalan angka dan konsep matematika dasar. </w:t>
      </w:r>
      <w:r w:rsidR="003F7E02" w:rsidRPr="000B3DEE">
        <w:rPr>
          <w:color w:val="000000"/>
          <w:sz w:val="18"/>
          <w:szCs w:val="18"/>
        </w:rPr>
        <w:t>Penelitian ini bertujuan untuk mendeskripsikan bagaimana penerapan metode sorogan berbantuan lembar kerja siswa (LKS) bertingkat dalam menstimulasi kemampuan berhitung</w:t>
      </w:r>
      <w:r w:rsidR="00697DDC">
        <w:rPr>
          <w:color w:val="000000"/>
          <w:sz w:val="18"/>
          <w:szCs w:val="18"/>
        </w:rPr>
        <w:t xml:space="preserve"> </w:t>
      </w:r>
      <w:r w:rsidR="003F7E02" w:rsidRPr="000B3DEE">
        <w:rPr>
          <w:color w:val="000000"/>
          <w:sz w:val="18"/>
          <w:szCs w:val="18"/>
        </w:rPr>
        <w:t xml:space="preserve">siswa pada kelas Calistung B di Sanggar Bimbingan Permai Penang, Malaysia. Metode penelitian yang digunakan </w:t>
      </w:r>
      <w:r w:rsidR="00E84E17" w:rsidRPr="000B3DEE">
        <w:rPr>
          <w:color w:val="000000"/>
          <w:sz w:val="18"/>
          <w:szCs w:val="18"/>
        </w:rPr>
        <w:t xml:space="preserve">yaitu </w:t>
      </w:r>
      <w:r w:rsidR="00416A0F">
        <w:rPr>
          <w:color w:val="000000"/>
          <w:sz w:val="18"/>
          <w:szCs w:val="18"/>
        </w:rPr>
        <w:t>penelitian tindakan</w:t>
      </w:r>
      <w:r w:rsidR="003F7E02" w:rsidRPr="000B3DEE">
        <w:rPr>
          <w:color w:val="000000"/>
          <w:sz w:val="18"/>
          <w:szCs w:val="18"/>
        </w:rPr>
        <w:t>.</w:t>
      </w:r>
      <w:r w:rsidR="005122AB" w:rsidRPr="000B3DEE">
        <w:rPr>
          <w:color w:val="000000"/>
          <w:sz w:val="18"/>
          <w:szCs w:val="18"/>
        </w:rPr>
        <w:t xml:space="preserve"> Subjek pada penelitian ini merupakan </w:t>
      </w:r>
      <w:r w:rsidR="003F7E02" w:rsidRPr="000B3DEE">
        <w:rPr>
          <w:color w:val="000000"/>
          <w:sz w:val="18"/>
          <w:szCs w:val="18"/>
        </w:rPr>
        <w:t>peserta didik kelas Calistung B yang terdiri dari 5 orang anak.</w:t>
      </w:r>
      <w:r w:rsidR="009B484B" w:rsidRPr="000B3DEE">
        <w:t xml:space="preserve"> </w:t>
      </w:r>
      <w:r w:rsidR="009B484B" w:rsidRPr="000B3DEE">
        <w:rPr>
          <w:color w:val="000000"/>
          <w:sz w:val="18"/>
          <w:szCs w:val="18"/>
        </w:rPr>
        <w:t>Teknik penelitian yang digunakan adalah observasi, interview</w:t>
      </w:r>
      <w:r w:rsidR="00422351" w:rsidRPr="000B3DEE">
        <w:rPr>
          <w:color w:val="000000"/>
          <w:sz w:val="18"/>
          <w:szCs w:val="18"/>
        </w:rPr>
        <w:t xml:space="preserve"> tidak terstruktur</w:t>
      </w:r>
      <w:r w:rsidR="009B484B" w:rsidRPr="000B3DEE">
        <w:rPr>
          <w:color w:val="000000"/>
          <w:sz w:val="18"/>
          <w:szCs w:val="18"/>
        </w:rPr>
        <w:t xml:space="preserve">, dan </w:t>
      </w:r>
      <w:r w:rsidR="003B52E8">
        <w:rPr>
          <w:color w:val="000000"/>
          <w:sz w:val="18"/>
          <w:szCs w:val="18"/>
        </w:rPr>
        <w:t>tes</w:t>
      </w:r>
      <w:r w:rsidR="009B484B" w:rsidRPr="000B3DEE">
        <w:rPr>
          <w:color w:val="000000"/>
          <w:sz w:val="18"/>
          <w:szCs w:val="18"/>
        </w:rPr>
        <w:t xml:space="preserve">. </w:t>
      </w:r>
      <w:r w:rsidR="00A36D73" w:rsidRPr="000B3DEE">
        <w:rPr>
          <w:color w:val="000000"/>
          <w:sz w:val="18"/>
          <w:szCs w:val="18"/>
        </w:rPr>
        <w:t>Temuan</w:t>
      </w:r>
      <w:r w:rsidR="003F7E02" w:rsidRPr="000B3DEE">
        <w:rPr>
          <w:color w:val="000000"/>
          <w:sz w:val="18"/>
          <w:szCs w:val="18"/>
        </w:rPr>
        <w:t xml:space="preserve"> penelitian menunjukkan bahwa metode sorogan berbantuan LKS bertingkat </w:t>
      </w:r>
      <w:r w:rsidR="002872B0" w:rsidRPr="000B3DEE">
        <w:rPr>
          <w:color w:val="000000"/>
          <w:sz w:val="18"/>
          <w:szCs w:val="18"/>
        </w:rPr>
        <w:t xml:space="preserve">merupakan solusi yang </w:t>
      </w:r>
      <w:r w:rsidR="00922078" w:rsidRPr="000B3DEE">
        <w:rPr>
          <w:color w:val="000000"/>
          <w:sz w:val="18"/>
          <w:szCs w:val="18"/>
        </w:rPr>
        <w:t xml:space="preserve">tepat </w:t>
      </w:r>
      <w:r w:rsidR="005831CB" w:rsidRPr="000B3DEE">
        <w:rPr>
          <w:color w:val="000000"/>
          <w:sz w:val="18"/>
          <w:szCs w:val="18"/>
        </w:rPr>
        <w:t xml:space="preserve">dan </w:t>
      </w:r>
      <w:r w:rsidR="002F4402" w:rsidRPr="000B3DEE">
        <w:rPr>
          <w:color w:val="000000"/>
          <w:sz w:val="18"/>
          <w:szCs w:val="18"/>
        </w:rPr>
        <w:t xml:space="preserve">dapat </w:t>
      </w:r>
      <w:r w:rsidR="005831CB" w:rsidRPr="000B3DEE">
        <w:rPr>
          <w:color w:val="000000"/>
          <w:sz w:val="18"/>
          <w:szCs w:val="18"/>
        </w:rPr>
        <w:t>menjadi salah satu alternatif</w:t>
      </w:r>
      <w:r w:rsidR="00922078" w:rsidRPr="000B3DEE">
        <w:rPr>
          <w:color w:val="000000"/>
          <w:sz w:val="18"/>
          <w:szCs w:val="18"/>
        </w:rPr>
        <w:t xml:space="preserve"> </w:t>
      </w:r>
      <w:r w:rsidR="002F4402" w:rsidRPr="000B3DEE">
        <w:rPr>
          <w:color w:val="000000"/>
          <w:sz w:val="18"/>
          <w:szCs w:val="18"/>
        </w:rPr>
        <w:t>untuk</w:t>
      </w:r>
      <w:r w:rsidR="005831CB" w:rsidRPr="000B3DEE">
        <w:rPr>
          <w:color w:val="000000"/>
          <w:sz w:val="18"/>
          <w:szCs w:val="18"/>
        </w:rPr>
        <w:t xml:space="preserve"> </w:t>
      </w:r>
      <w:r w:rsidR="00A36D73" w:rsidRPr="000B3DEE">
        <w:rPr>
          <w:color w:val="000000"/>
          <w:sz w:val="18"/>
          <w:szCs w:val="18"/>
        </w:rPr>
        <w:t>diterapkan</w:t>
      </w:r>
      <w:r w:rsidR="005831CB" w:rsidRPr="000B3DEE">
        <w:rPr>
          <w:color w:val="000000"/>
          <w:sz w:val="18"/>
          <w:szCs w:val="18"/>
        </w:rPr>
        <w:t xml:space="preserve"> </w:t>
      </w:r>
      <w:r w:rsidR="00922078" w:rsidRPr="000B3DEE">
        <w:rPr>
          <w:color w:val="000000"/>
          <w:sz w:val="18"/>
          <w:szCs w:val="18"/>
        </w:rPr>
        <w:t>dalam m</w:t>
      </w:r>
      <w:r w:rsidR="003F7E02" w:rsidRPr="000B3DEE">
        <w:rPr>
          <w:color w:val="000000"/>
          <w:sz w:val="18"/>
          <w:szCs w:val="18"/>
        </w:rPr>
        <w:t>enstimulasi kemampuan berhitung permulaan siswa. Komponen-komponen seperti apersepsi awal, latihan soal, diskusi, dan refleksi yang diterapkan dalam kegiatan pembelajaran sorogan mengambil peran penting dalam mendukung terbentuknya pemahaman yang mendalam. Proses pembelajaran metode sorogan yang berpusat pada siswa dengan mengutamakan fokus pada penggalian aspek individualitas, didukung dengan penggunaan lembar kerja bertingkat, secara bertahap membantu siswa memahami konsep-konsep berhitung, sehingga menjadi pondasi bagi pengembangan kemampuan berhitung yang berkelanjutan.</w:t>
      </w:r>
      <w:bookmarkEnd w:id="1"/>
    </w:p>
    <w:p w14:paraId="5000FE81" w14:textId="77777777" w:rsidR="00505DD5" w:rsidRPr="000B3DEE" w:rsidRDefault="00505DD5">
      <w:pPr>
        <w:spacing w:before="0" w:line="240" w:lineRule="auto"/>
        <w:ind w:right="-2"/>
        <w:rPr>
          <w:sz w:val="18"/>
          <w:szCs w:val="18"/>
        </w:rPr>
      </w:pPr>
    </w:p>
    <w:p w14:paraId="51308350" w14:textId="77777777" w:rsidR="002016E7" w:rsidRPr="000B3DEE" w:rsidRDefault="002016E7" w:rsidP="002016E7">
      <w:pPr>
        <w:spacing w:before="0" w:line="240" w:lineRule="auto"/>
        <w:rPr>
          <w:rFonts w:ascii="Cambria" w:hAnsi="Cambria" w:cs="AdvOTc4d0b532"/>
          <w:b/>
          <w:sz w:val="18"/>
          <w:szCs w:val="18"/>
        </w:rPr>
      </w:pPr>
      <w:r w:rsidRPr="000B3DEE">
        <w:rPr>
          <w:rFonts w:ascii="Cambria" w:hAnsi="Cambria" w:cs="AdvOTc4d0b532"/>
          <w:b/>
          <w:sz w:val="18"/>
          <w:szCs w:val="18"/>
        </w:rPr>
        <w:t>A B S T R A C T</w:t>
      </w:r>
    </w:p>
    <w:p w14:paraId="4D2A75D8" w14:textId="0058B441" w:rsidR="002016E7" w:rsidRPr="000B3DEE" w:rsidRDefault="008A5EFC" w:rsidP="002016E7">
      <w:pPr>
        <w:pBdr>
          <w:top w:val="single" w:sz="4" w:space="1" w:color="auto"/>
          <w:bottom w:val="single" w:sz="4" w:space="1" w:color="auto"/>
        </w:pBdr>
        <w:spacing w:before="0" w:after="120" w:line="240" w:lineRule="auto"/>
        <w:rPr>
          <w:sz w:val="16"/>
          <w:szCs w:val="18"/>
          <w:lang w:val="en-US" w:eastAsia="en-US"/>
        </w:rPr>
      </w:pPr>
      <w:r w:rsidRPr="000B3DEE">
        <w:rPr>
          <w:sz w:val="18"/>
          <w:szCs w:val="18"/>
        </w:rPr>
        <w:t xml:space="preserve">The problem discussed here is an attempt to change the conventional teaching method (lecture) at the beginning counting learning stage towards a learning approach that can better facilitate children's learning needs and create meaningful learning. Early counting skills are important basic skills for students to be able to answer and understand further mathematical problems, including the introduction of numbers and basic mathematical concepts. </w:t>
      </w:r>
      <w:r w:rsidR="00316FA7" w:rsidRPr="00316FA7">
        <w:rPr>
          <w:sz w:val="18"/>
          <w:szCs w:val="18"/>
        </w:rPr>
        <w:t>This study aims to describe how the application of the sorogan method assisted by graded student worksheets (LKS) in stimulating students' counting skills in Calistung B class at Sanggar Bimbingan Permai Penang, Malaysia. The research method used is action research</w:t>
      </w:r>
      <w:r w:rsidR="00316FA7">
        <w:rPr>
          <w:sz w:val="18"/>
          <w:szCs w:val="18"/>
        </w:rPr>
        <w:t xml:space="preserve"> (AR)</w:t>
      </w:r>
      <w:r w:rsidR="00316FA7" w:rsidRPr="00316FA7">
        <w:rPr>
          <w:sz w:val="18"/>
          <w:szCs w:val="18"/>
        </w:rPr>
        <w:t>. The subjects in this study were Calistung B class students consisting of 5 children. The research techniques used were observation, unstructured interviews, and tests.</w:t>
      </w:r>
      <w:r w:rsidRPr="000B3DEE">
        <w:rPr>
          <w:sz w:val="18"/>
          <w:szCs w:val="18"/>
        </w:rPr>
        <w:t xml:space="preserve"> The research findings show that the sorogan method assisted by graded worksheets is the right solution and can be one of the alternatives to be applied in stimulating students' early counting skills. Components such as initial apperception, practice problems, discussion, and reflection applied in sorogan learning activities take an important role in supporting the formation of deep understanding. The student-centered learning process of the Sorogan method by prioritizing a focus on exploring aspects of individuality, supported by the use of graded worksheets, gradually helps students understand numeracy concepts, thus becoming the foundation for the development of sustainable numeracy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605"/>
      </w:tblGrid>
      <w:tr w:rsidR="002016E7" w:rsidRPr="000B3DEE" w14:paraId="492C0659" w14:textId="77777777" w:rsidTr="00E81C86">
        <w:trPr>
          <w:trHeight w:val="693"/>
        </w:trPr>
        <w:tc>
          <w:tcPr>
            <w:tcW w:w="7390" w:type="dxa"/>
          </w:tcPr>
          <w:p w14:paraId="70F7BAE1" w14:textId="77777777" w:rsidR="002016E7" w:rsidRPr="000B3DEE" w:rsidRDefault="00F11F0B" w:rsidP="00F11F0B">
            <w:pPr>
              <w:spacing w:after="120" w:line="240" w:lineRule="auto"/>
              <w:jc w:val="right"/>
              <w:rPr>
                <w:noProof/>
                <w:lang w:val="en-ID"/>
              </w:rPr>
            </w:pPr>
            <w:r w:rsidRPr="000B3DEE">
              <w:rPr>
                <w:i/>
                <w:iCs/>
                <w:color w:val="000000"/>
                <w:sz w:val="18"/>
                <w:szCs w:val="18"/>
              </w:rPr>
              <w:t xml:space="preserve">This is an open access article under the </w:t>
            </w:r>
            <w:hyperlink r:id="rId10" w:history="1">
              <w:r w:rsidRPr="000B3DEE">
                <w:rPr>
                  <w:rStyle w:val="Hyperlink"/>
                  <w:i/>
                  <w:iCs/>
                  <w:sz w:val="18"/>
                  <w:szCs w:val="18"/>
                </w:rPr>
                <w:t>CC BY-SA</w:t>
              </w:r>
            </w:hyperlink>
            <w:r w:rsidRPr="000B3DEE">
              <w:rPr>
                <w:i/>
                <w:iCs/>
                <w:color w:val="000000"/>
                <w:sz w:val="18"/>
                <w:szCs w:val="18"/>
              </w:rPr>
              <w:t xml:space="preserve"> license.</w:t>
            </w:r>
          </w:p>
          <w:p w14:paraId="6AC93AA7" w14:textId="77777777" w:rsidR="002016E7" w:rsidRPr="000B3DEE" w:rsidRDefault="002016E7" w:rsidP="00E81C86">
            <w:pPr>
              <w:spacing w:before="0" w:line="240" w:lineRule="auto"/>
              <w:ind w:left="0" w:firstLine="0"/>
              <w:jc w:val="right"/>
              <w:rPr>
                <w:rFonts w:ascii="Cambria" w:hAnsi="Cambria"/>
                <w:i/>
                <w:sz w:val="16"/>
              </w:rPr>
            </w:pPr>
          </w:p>
        </w:tc>
        <w:tc>
          <w:tcPr>
            <w:tcW w:w="1896" w:type="dxa"/>
          </w:tcPr>
          <w:p w14:paraId="44DC0EAE" w14:textId="77777777" w:rsidR="002016E7" w:rsidRPr="000B3DEE" w:rsidRDefault="002016E7" w:rsidP="00E81C86">
            <w:pPr>
              <w:spacing w:before="0"/>
              <w:jc w:val="right"/>
              <w:rPr>
                <w:rFonts w:ascii="Cambria" w:hAnsi="Cambria"/>
              </w:rPr>
            </w:pPr>
            <w:r w:rsidRPr="000B3DEE">
              <w:rPr>
                <w:noProof/>
                <w:lang w:val="en-US" w:eastAsia="en-US"/>
              </w:rPr>
              <w:drawing>
                <wp:inline distT="0" distB="0" distL="0" distR="0" wp14:anchorId="1F4A7D6E" wp14:editId="07BAAEC5">
                  <wp:extent cx="1054100" cy="36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tc>
      </w:tr>
    </w:tbl>
    <w:p w14:paraId="38FC55B4" w14:textId="77777777" w:rsidR="002016E7" w:rsidRPr="000B3DEE" w:rsidRDefault="002016E7">
      <w:pPr>
        <w:pBdr>
          <w:top w:val="single" w:sz="4" w:space="0" w:color="000000"/>
        </w:pBdr>
        <w:spacing w:before="0"/>
        <w:rPr>
          <w:rFonts w:ascii="Cambria" w:eastAsia="Cambria" w:hAnsi="Cambria" w:cs="Cambria"/>
        </w:rPr>
      </w:pPr>
    </w:p>
    <w:p w14:paraId="4370BE45" w14:textId="77777777" w:rsidR="002016E7" w:rsidRPr="000B3DEE" w:rsidRDefault="002016E7">
      <w:pPr>
        <w:pBdr>
          <w:top w:val="single" w:sz="4" w:space="0" w:color="000000"/>
        </w:pBdr>
        <w:spacing w:before="0"/>
        <w:rPr>
          <w:rFonts w:ascii="Cambria" w:eastAsia="Cambria" w:hAnsi="Cambria" w:cs="Cambria"/>
        </w:rPr>
      </w:pPr>
    </w:p>
    <w:p w14:paraId="57403BC6" w14:textId="77777777" w:rsidR="00505DD5" w:rsidRPr="000B3DEE" w:rsidRDefault="009D73D5">
      <w:pPr>
        <w:pStyle w:val="Heading1"/>
        <w:numPr>
          <w:ilvl w:val="0"/>
          <w:numId w:val="1"/>
        </w:numPr>
        <w:spacing w:before="0" w:after="120" w:line="240" w:lineRule="auto"/>
        <w:ind w:left="284" w:hanging="284"/>
        <w:jc w:val="both"/>
        <w:rPr>
          <w:color w:val="000000"/>
        </w:rPr>
      </w:pPr>
      <w:r w:rsidRPr="000B3DEE">
        <w:rPr>
          <w:color w:val="000000"/>
        </w:rPr>
        <w:t>INTRODUCTION</w:t>
      </w:r>
    </w:p>
    <w:p w14:paraId="73258623" w14:textId="36009951" w:rsidR="00C05717" w:rsidRPr="00C05717" w:rsidRDefault="00C05717" w:rsidP="00C05717">
      <w:pPr>
        <w:spacing w:before="0" w:line="240" w:lineRule="auto"/>
        <w:ind w:firstLine="720"/>
        <w:rPr>
          <w:rFonts w:asciiTheme="majorHAnsi" w:eastAsia="Cambria" w:hAnsiTheme="majorHAnsi" w:cs="Cambria"/>
          <w:iCs/>
          <w:sz w:val="20"/>
          <w:szCs w:val="20"/>
        </w:rPr>
      </w:pPr>
      <w:r w:rsidRPr="00C05717">
        <w:rPr>
          <w:rFonts w:asciiTheme="majorHAnsi" w:eastAsia="Cambria" w:hAnsiTheme="majorHAnsi" w:cs="Cambria"/>
          <w:iCs/>
          <w:sz w:val="20"/>
          <w:szCs w:val="20"/>
        </w:rPr>
        <w:t xml:space="preserve">Education plays a central role in shaping the knowledge and skills base of human life. As a guide in individual development attempts, education is the foundation for the development of every human being. Generally, through education, a person can gain extensive knowledge and provide opportunities for comprehensive self-development. To develop oneself, several basic skills must be mastered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{"citationItems":[{"id":"ITEM-1","itemData":{"DOI":"10.19184/kdma.v10i1.11813","abstract":"This study aims to describe the mathematical communication skills of junior high school students who experience deficiencies in reading writing, and counting (calistung). Mathematical communication ability consists of mathematical communication skills in verbal and in writing. The subjects of this study were 4 students in the calistung class. The method of data collection is through tests, interviews, and observations. Based on the results of the analysis, the mathematical communication skills of the calistung participants (reading, writing and counting) were in the range of the lowest three levels. Student 1 (S1) is at level 2 which is good enough. Student 2 (S2) mathematical communication skills are at level 2 which is quite good. Student 3 (S3) mathematical communication skills are at level 2 which is quite good. The mathematical communication ability of Student 4 (S4) is at level 1 which can be said to be of poor ability because it only fulfills 9 indicators out of all 32 indicators.","author":[{"dropping-particle":"","family":"Firda","given":"Jazilatul","non-dropping-particle":"","parse-names":false,"suffix":""},{"dropping-particle":"","family":"Setiawani","given":"Susi","non-dropping-particle":"","parse-names":false,"suffix":""},{"dropping-particle":"","family":"Murtikusuma","given":"Randi Pratama","non-dropping-particle":"","parse-names":false,"suffix":""}],"container-title":"Kadikma","id":"ITEM-1","issue":"1","issued":{"date-parts":[["2019"]]},"page":"116-125","title":"Analisis Kemampuan Komunikasi Matematis Siswa Peserta Calistung SMP Negeri 8 Jember","type":"article-journal","volume":"10"},"uris":["http://www.mendeley.com/documents/?uuid=4d1755c3-e1a4-4747-ab0f-b362b949e528"]}],"mendeley":{"formattedCitation":"(Firda et al., 2019)","plainTextFormattedCitation":"(Firda et al., 2019)","previouslyFormattedCitation":"(Firda et al., 2019)"},"properties":{"noteIndex":0},"schema":"https://github.com/citation-style-language/schema/raw/master/csl-citation.json"}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(Firda et al., 2019)</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These basic skills include reading, writing, counting, and other basic skills that can provide benefits for children in the future.  </w:t>
      </w:r>
    </w:p>
    <w:p w14:paraId="0197D911" w14:textId="77777777" w:rsidR="00C05717" w:rsidRPr="00C05717" w:rsidRDefault="00C05717" w:rsidP="00C05717">
      <w:pPr>
        <w:spacing w:before="0" w:line="240" w:lineRule="auto"/>
        <w:ind w:firstLine="720"/>
        <w:rPr>
          <w:rFonts w:asciiTheme="majorHAnsi" w:eastAsia="Cambria" w:hAnsiTheme="majorHAnsi" w:cs="Cambria"/>
          <w:iCs/>
          <w:sz w:val="20"/>
          <w:szCs w:val="20"/>
        </w:rPr>
      </w:pPr>
      <w:r w:rsidRPr="00C05717">
        <w:rPr>
          <w:rFonts w:asciiTheme="majorHAnsi" w:eastAsia="Cambria" w:hAnsiTheme="majorHAnsi" w:cs="Cambria"/>
          <w:iCs/>
          <w:sz w:val="20"/>
          <w:szCs w:val="20"/>
        </w:rPr>
        <w:lastRenderedPageBreak/>
        <w:t xml:space="preserve">Counting is a fundamental mathematical skill that can have a significant impact on child development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{"citationItems":[{"id":"ITEM-1","itemData":{"DOI":"10.31949/jcp.v8i3.2474","ISSN":"2442-7470","abstract":"Kemampuan matematika atau kemampuan berhitung adalah kemampuan mendasar dan fundamental sebagai landasan untuk mempelajari bidang ilmu yang lebih luas. Indonesia memiliki kualitas pendidikan matematika yang tertinggal dari Negara lain dan berada pada posisi terbawah menurut PISA. Hal ini disebabkan oleh perpsepsi siswa dan masyarakat umum yang menganggap bahwa matematika merupakan ilmu yang sulit untuk dipahami. Akibatnya, siswa mengalami kesulitan belajar dan menjadi tidak paham dengan materi matematika. Untuk mengatasinya diperlukan adanya terobosan baru dalam proses pembelajaran agar kemampuan dan minat siswa semakin berkembang. Guru sebagai penggerak utama dalam pembelajaran harus dapat mengatasi permasalah ini dengan berbagai upaya. Media pembelajaran adalah salah satu alternative untuk meningkatkan minat siswa. Penelitian dan perancangan menggunakan pendekatan kualitatif. Sumber data yang digunakan adalah seumber data sekunder melalui studi literature.  MABETA (Mangent berhitung matematika) adalah media pembelajaran yang berbasis aktivitas yang menggabungkan antara permainan dan materi berhitung atau operasi matematika dasar. MABETA dirancang untuk meningkatkan pemahaman siswa dan meningkatkan minat berhitung siswa. Mabeta memiliki beberapa keunggulan dimana sangat fleksibel, mudah dijumpai, dan dapat menghidupkan suasana belajar karena memerlukan aktivitas dan interaksi langsung dari siswa. Dengan MABETA, diharapkan pembelajaran matematika menjadi tidak sulit lagi, dan pemahaman serta minat siswa menjadi meningkat. Pada akhirnya, kualitas pendidikan di Indonesia bias mulai mengejar ketertinggalan yang ada dari system pendidikan global.","author":[{"dropping-particle":"","family":"Valentina","given":"Adira","non-dropping-particle":"","parse-names":false,"suffix":""},{"dropping-particle":"","family":"Wulandari","given":"Murfiah Dewi","non-dropping-particle":"","parse-names":false,"suffix":""}],"container-title":"Jurnal Cakrawala Pendas","id":"ITEM-1","issue":"3","issued":{"date-parts":[["2022"]]},"page":"601-610","title":"Media Pembelajaran Mabeta Untuk Menguatkan Kemampuan Berhitung Peserta Didik Sekolah Dasar","type":"article-journal","volume":"8"},"uris":["http://www.mendeley.com/documents/?uuid=1895ef3d-dd25-4575-a737-af31aff50d7f"]}],"mendeley":{"formattedCitation":"(Valentina &amp; Wulandari, 2022)","plainTextFormattedCitation":"(Valentina &amp; Wulandari, 2022)","previouslyFormattedCitation":"(Valentina &amp; Wulandari, 2022)"},"properties":{"noteIndex":0},"schema":"https://github.com/citation-style-language/schema/raw/master/csl-citation.json"}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(Valentina &amp; Wulandari, 2022)</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w:t>
      </w:r>
      <w:bookmarkStart w:id="2" w:name="_Hlk158150425"/>
      <w:r w:rsidRPr="00C05717">
        <w:rPr>
          <w:rFonts w:asciiTheme="majorHAnsi" w:eastAsia="Cambria" w:hAnsiTheme="majorHAnsi" w:cs="Cambria"/>
          <w:iCs/>
          <w:sz w:val="20"/>
          <w:szCs w:val="20"/>
        </w:rPr>
        <w:t xml:space="preserve">Counting skills are not just about recognizing and manipulating numbers, but also bringing mathematical concepts into everyday life. These principles have been identified as a key foundation tool to initiate the learning of basic operations, as well as to build a clear relationship between numbers and quantities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{"citationItems":[{"id":"ITEM-1","itemData":{"DOI":"10.26822/iejee.2022.251","ISBN":"0000000161824","ISSN":"13079298","abstract":"The aim of this pre-experimental study is to evaluate the acquisition level of counting skills of a 3-year-old classroom made up of 14 children through a specific instructional design. To this end, an instructional proposal to improve these mathematical skills was designed. Before and after the intervention, we measured the students’ level regarding counting skills through an evaluation of their counting abilities. The results indicate that the designed intervention increased the acquisition level of skills related to counting principles, constituting an effective instrument to enhance counting skills for 3-year-old children. In particular, after the intervention children improved significantly in skills related to the one-to-one correspondence principle and the order-irrelevance principle, both showing a large effect size in their observed differences. The cardinality principle, stable-order principle and abstraction principle also showed gains, but the differences were found to be statistically non-significant. Finally, the role of the age of the participants was also analyzed in relation to their acquired counting skills, indicating that children in the older age range improved their counting skills more than children in the younger group.","author":[{"dropping-particle":"","family":"Carbonell-Jornet","given":"Aida","non-dropping-particle":"","parse-names":false,"suffix":""},{"dropping-particle":"","family":"Diago","given":"Pascual D.","non-dropping-particle":"","parse-names":false,"suffix":""},{"dropping-particle":"","family":"Arnau","given":"David","non-dropping-particle":"","parse-names":false,"suffix":""},{"dropping-particle":"","family":"García-Moreno","given":"Miguel A.","non-dropping-particle":"","parse-names":false,"suffix":""}],"container-title":"International Electronic Journal of Elementary Education","id":"ITEM-1","issue":"3","issued":{"date-parts":[["2022"]]},"page":"387-403","title":"An Instructional Design for The Improvement of Counting Skills in 3-Year-Old Children","type":"article-journal","volume":"14"},"uris":["http://www.mendeley.com/documents/?uuid=de6fa420-f4d2-4218-b75b-3b3e407c4dd0"]}],"mendeley":{"formattedCitation":"(Carbonell-Jornet et al., 2022)","plainTextFormattedCitation":"(Carbonell-Jornet et al., 2022)","previouslyFormattedCitation":"(Carbonell-Jornet et al., 2022)"},"properties":{"noteIndex":0},"schema":"https://github.com/citation-style-language/schema/raw/master/csl-citation.json"}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(Carbonell-Jornet et al., 2022)</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w:t>
      </w:r>
      <w:bookmarkEnd w:id="2"/>
      <w:r w:rsidRPr="00C05717">
        <w:rPr>
          <w:rFonts w:asciiTheme="majorHAnsi" w:eastAsia="Cambria" w:hAnsiTheme="majorHAnsi" w:cs="Cambria"/>
          <w:iCs/>
          <w:sz w:val="20"/>
          <w:szCs w:val="20"/>
        </w:rPr>
        <w:t xml:space="preserve">By understanding basic principles such as counting operations, children can build a strong foundation for more complex mathematical abilities in the future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{"citationItems":[{"id":"ITEM-1","itemData":{"abstract":"Buku Pembelajaran Calistung.","author":[{"dropping-particle":"","family":"Suprapto","given":"Amalia Ayu","non-dropping-particle":"","parse-names":false,"suffix":""}],"container-title":"Jurnal Pendidikan Anak Usia Dini","id":"ITEM-1","issue":"9","issued":{"date-parts":[["2020"]]},"page":"53-61","title":"Pembelajaran Membaca Menulis Dan Berhitung (CALISTUNG) Pada Kelompok TK B USIA 5-6 Tahun Di KB Surya Marta","type":"article-journal","volume":"9"},"uris":["http://www.mendeley.com/documents/?uuid=fc0b5267-96b9-441b-b8f4-495b4c73180e"]}],"mendeley":{"formattedCitation":"(Suprapto, 2020)","plainTextFormattedCitation":"(Suprapto, 2020)","previouslyFormattedCitation":"(Suprapto, 2020)"},"properties":{"noteIndex":0},"schema":"https://github.com/citation-style-language/schema/raw/master/csl-citation.json"}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(Suprapto, 2020)</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In addition, counting skills also play a key role in the development of children's logical intelligence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{"citationItems":[{"id":"ITEM-1","itemData":{"DOI":"10.32505/atfaluna.v1i2.922","ISSN":"2655-8572","abstract":"Early childhood is the age when it grows its era of sensitive to the development of cognitive ability, physical-motor, language, socio-emotional, moral value of religion. At this time the administration of the lack must be adjusted to the age level. Calistung can already be applied to improve early childhood as long as the development aspect. Calistung was introduced by Maria Montessori and Gleen Doman. The process of learning education in early childhood should be recorded in order to provide meaningful concept through real experience.","author":[{"dropping-particle":"","family":"Rahayu","given":"Nina","non-dropping-particle":"","parse-names":false,"suffix":""}],"container-title":"Aṭfālunā: Journal of Islamic Early Childhood Education","id":"ITEM-1","issue":"2","issued":{"date-parts":[["2018"]]},"page":"53-58","title":"Pembelajaran Calistung bagi Anak Usia Dini","type":"article-journal","volume":"1"},"uris":["http://www.mendeley.com/documents/?uuid=a66d48a1-885b-4c88-afbc-fc60a17f06a3"]}],"mendeley":{"formattedCitation":"(Rahayu, 2018)","manualFormatting":"(Rahayu, 2018","plainTextFormattedCitation":"(Rahayu, 2018)","previouslyFormattedCitation":"(Rahayu, 2018)"},"properties":{"noteIndex":0},"schema":"https://github.com/citation-style-language/schema/raw/master/csl-citation.json"}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(Rahayu, 2018</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{"citationItems":[{"id":"ITEM-1","itemData":{"ISSN":"1840-1848","abstract":"… Metode jarimatika adalah metode menghitung sederhana menggunakan alat bantu sepuluh jari tangan dengan cepat dan … Peningkatan Kemampuan Berhitung Pada Anak Kelompok B Melalui Permainan Kartu Angka di TK Dharma Indria I … Jurnal Edukasi UNEJ, 3(2), 39–42 …","author":[{"dropping-particle":"","family":"Febrizalti","given":"Tari","non-dropping-particle":"","parse-names":false,"suffix":""},{"dropping-particle":"","family":"Saridewi","given":"","non-dropping-particle":"","parse-names":false,"suffix":""}],"container-title":"Jurnal Pendidikan Tambusai","id":"ITEM-1","issue":"3","issued":{"date-parts":[["2020"]]},"page":"1840-1848","title":"Stimulasi Kemampuan Berhitung Anak Usia Dini melalui Metode Jarimatika","type":"article-journal","volume":"4"},"uris":["http://www.mendeley.com/documents/?uuid=ae0a82d7-4586-4cd3-822e-776dd12d2d55"]}],"mendeley":{"formattedCitation":"(Febrizalti &amp; Saridewi, 2020)","manualFormatting":"Febrizalti &amp; Saridewi, 2020)","plainTextFormattedCitation":"(Febrizalti &amp; Saridewi, 2020)","previouslyFormattedCitation":"(Febrizalti &amp; Saridewi, 2020)"},"properties":{"noteIndex":0},"schema":"https://github.com/citation-style-language/schema/raw/master/csl-citation.json"}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Febrizalti &amp; Saridewi, 2020)</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The process of learning to count at an early stage, which is then referred to as beginning counting, is generally obtained in the lower-grade group. Counting in the lower grades begins with the introduction of numbers and basic mathematical concepts, where children learn to recognize numbers, perform simple operations such as addition and subtraction, and understand the relationship between quantities and surrounding objects. So that students master the ability to count correctly as a foundation and basis for students to follow the learning process and answer further math problems. Low-grade students who are experiencing development in their level of thinking require guidance to better understand the material in the beginning counting lesson. Therefore, support is needed by adults in the form of assistance, stimuli, guidance, and positive treatment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{"citationItems":[{"id":"ITEM-1","itemData":{"ISBN":"0232874085","author":[{"dropping-particle":"","family":"Febriani","given":"Ana","non-dropping-particle":"","parse-names":false,"suffix":""},{"dropping-particle":"","family":"Utomo","given":"Hanggara Budi","non-dropping-particle":"","parse-names":false,"suffix":""},{"dropping-particle":"","family":"Dwiyanti","given":"Linda","non-dropping-particle":"","parse-names":false,"suffix":""}],"container-title":"Jurnal Pelita PAUD","id":"ITEM-1","issue":"2","issued":{"date-parts":[["2022"]]},"page":"180-187","title":"Pengembangan Dadu Hitung Edukatif Sebagai Media Untuk Menstimulasi Kemampuan Berhitung Anak Usia Dini","type":"article-journal","volume":"6"},"uris":["http://www.mendeley.com/documents/?uuid=13a2d7f1-583e-4212-8ee1-b7dc9ec78f59"]}],"mendeley":{"formattedCitation":"(Febriani et al., 2022)","plainTextFormattedCitation":"(Febriani et al., 2022)","previouslyFormattedCitation":"(Febriani et al., 2022)"},"properties":{"noteIndex":0},"schema":"https://github.com/citation-style-language/schema/raw/master/csl-citation.json"}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(Febriani et al., 2022)</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w:t>
      </w:r>
    </w:p>
    <w:p w14:paraId="396F0777" w14:textId="77777777" w:rsidR="00C05717" w:rsidRPr="00C05717" w:rsidRDefault="00C05717" w:rsidP="00C05717">
      <w:pPr>
        <w:spacing w:before="0" w:line="240" w:lineRule="auto"/>
        <w:ind w:firstLine="720"/>
        <w:rPr>
          <w:rFonts w:asciiTheme="majorHAnsi" w:eastAsia="Cambria" w:hAnsiTheme="majorHAnsi" w:cs="Cambria"/>
          <w:iCs/>
          <w:sz w:val="20"/>
          <w:szCs w:val="20"/>
        </w:rPr>
      </w:pPr>
      <w:r w:rsidRPr="00C05717">
        <w:rPr>
          <w:rFonts w:asciiTheme="majorHAnsi" w:eastAsia="Cambria" w:hAnsiTheme="majorHAnsi" w:cs="Cambria"/>
          <w:iCs/>
          <w:sz w:val="20"/>
          <w:szCs w:val="20"/>
        </w:rPr>
        <w:t xml:space="preserve">Until now, the diversity of learning methods in education has increased, providing opportunities for educators to polish learning strategies that are effective, conducive, and fun. However, there is a fact that the conventional method more commonly known as the lecture method is still widely used. Some of the reasons why the lecture method is still used include because it is more practical (does not require a lot of equipment), efficient, and effective in delivering material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{"citationItems":[{"id":"ITEM-1","itemData":{"abstract":"Pendidikan adalah aspek penting dalam kehidupan yang wajib diperhatikan oleh semua pihak karena harkat dan martabat seseorang serta kemajuan peradaban suatu bangsa banyak bertumpu padanya. Sedang keberhasilan pendidikan banyak bergantung pada kesuksesan tenaga pendidik dalam menjembatani ilmu pengetahuan dengan para penuntutnya dengan metode pembelajaran yang digunakan. Dan Metode Ceramah adalah metode pembelajaran yang banyak digunakan dari generasi ke generasi dalam berbagai macam model pendidikan yang tentunya memiliki banyak kelebihan dan tidak sedikit pula kekurangannya. Maka peran sentral tenaga pendidik adalah mengoptimalkan sisi-sisi positifnya dan meminimalisir sisi-sisi negatifnya. Dan makalah ini mencoba menghimpun hal-hal yang terkait dengan metode ceramah sebagai salah satu metode pembelajaran yang umum digunakan, menganalisanya dari kunggulan-keunggulannya dan kelemahankelmahannya serta langkah-langkah apa saja yang harus diperhatikan oleh pengajar yang lazimnya mengambil metode ini dalam pembelajarannya agar proses transfer ilmu kepada peserta didik bisa lebih maksimal sesuai dengan tujuan pembelajaran yang harapannya bisa membantu mencerdaskan kehidupan bangsa dan melahirkan generasi yang cemerlang.","author":[{"dropping-particle":"","family":"Wirabumi","given":"Ridwan","non-dropping-particle":"","parse-names":false,"suffix":""}],"container-title":"Annual Conference on Islamic Education and Thought","id":"ITEM-1","issue":"I","issued":{"date-parts":[["2020"]]},"page":"105-113","title":"Metode Pembelajaran Ceramah","type":"article-journal","volume":"I"},"uris":["http://www.mendeley.com/documents/?uuid=b6be94a3-a9a5-407f-9acd-9aa9289f5eda"]}],"mendeley":{"formattedCitation":"(Wirabumi, 2020)","plainTextFormattedCitation":"(Wirabumi, 2020)","previouslyFormattedCitation":"(Wirabumi, 2020)"},"properties":{"noteIndex":0},"schema":"https://github.com/citation-style-language/schema/raw/master/csl-citation.json"}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(Wirabumi, 2020)</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However, it usually makes learning only run in one direction and teacher-student interaction is minimal. As is the case based on the results of observations made at the Permai Learning Centre in learning counting, especially in Calistung B class, it has not been running optimally with the lecture method still being applied, one of which is because learning is too dominated by the teacher. Conditions like this can have an impact on the helplessness of students who have low counting skills. They do not have enough space to express their answers and sometimes feel neglected, so the learning process becomes less meaningful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{"citationItems":[{"id":"ITEM-1","itemData":{"DOI":"10.23887/jipp.v6i1.42726","ISSN":"1858-4543","abstract":"Proses pembelajaran masih belum maksimal karena model pembelajaran yang digunakan masih konvesional. Peserta didik kurang diberi kesempatan menyusun pengetahuannya sendiri dalam proses pembelajaran. Hal ini berdampak kepada minat peserta didik dalam proses pembelajaran. Penelitian yang dilakukan bertujuan untuk menganalisis perbedaan hasil belajar peserta didik ketika menggunakan model pembelajaran Problem Based Learning. Jenis penelitian yang digunakan adalah meta analisis dari penelitian yang dilakukan sebelumnya. Pengumpulan data dilakukan dengan cara menelusuri jurnal di internet. Dari penelusuran didapatkan 22 jurnal yang sesuai dengan kategori yang ingin diteliti yang terdiri atas 4 jurnal berhubungan dengan Sekolah Dasar, 5 jurnal berhubungan dengan Sekolah Menegah Pertama, 9 jurnal berhubungan dengan Sekolah Menegah Atas, dan 4 jurnal berhubungan dengan Sekolah Menengah Kejuruan. Teknik yang digunakan untuk menganalisis data yaitu analisis deskriptif kualitatif dan kuantitatif. Berdasarkan hasil analisis 22 jurnal tersebut, diketahui bahwa terjadi kenaikan hasil belajar siswa ketika menggunakan metode tersebut. Kenaikan hasil belajar terbesar terjadi pada tingkatan Sekolah Menegah Atas. Sedangkan untuk kenaikan hasil belajar terkecil yaitu pada tingkatan Sekolah Menegah Kejuruan (SMK). Penerapan model Problem Based Learning sebagai alternatif kegiatan belajar yang menyenangkan.","author":[{"dropping-particle":"","family":"Isna","given":"Teguh Wijaksana","non-dropping-particle":"","parse-names":false,"suffix":""},{"dropping-particle":"","family":"Putra","given":"Rido","non-dropping-particle":"","parse-names":false,"suffix":""},{"dropping-particle":"","family":"Wicaksana","given":"Tiara Inda","non-dropping-particle":"","parse-names":false,"suffix":""},{"dropping-particle":"","family":"Tasrif","given":"Elfi","non-dropping-particle":"","parse-names":false,"suffix":""},{"dropping-particle":"","family":"Huda","given":"Asrul","non-dropping-particle":"","parse-names":false,"suffix":""}],"container-title":"Jurnal Imiah Pendidikan dan Pembelajaran","id":"ITEM-1","issue":"1","issued":{"date-parts":[["2021"]]},"page":"155-164","title":"Peningkatan Hasil Belajar Siswa melalui Problem Based Learning (PBL)","type":"article-journal","volume":"6"},"uris":["http://www.mendeley.com/documents/?uuid=5cfeb2c7-159e-43ee-859c-2108ba693761"]}],"mendeley":{"formattedCitation":"(Isna et al., 2021)","plainTextFormattedCitation":"(Isna et al., 2021)","previouslyFormattedCitation":"(Isna et al., 2021)"},"properties":{"noteIndex":0},"schema":"https://github.com/citation-style-language/schema/raw/master/csl-citation.json"}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(Isna et al., 2021)</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This will also have an impact on decreasing student interest in the learning process so that students tend not to focus and the material cannot be embedded properly. Children's counting abilities in Calistung B class are still very diverse, most of them are not able to count correctly, both in terms of mentioning number symbols and in terms of performing basic number operations. Thus, the learning activities applied in Calistung B class have not been able to stimulate students' counting skills, considering that student involvement during learning activities tends to be very minimal.  </w:t>
      </w:r>
    </w:p>
    <w:p w14:paraId="737E3319" w14:textId="77777777" w:rsidR="00C05717" w:rsidRPr="00C05717" w:rsidRDefault="00C05717" w:rsidP="00C05717">
      <w:pPr>
        <w:spacing w:before="0" w:line="240" w:lineRule="auto"/>
        <w:ind w:firstLine="720"/>
        <w:rPr>
          <w:rFonts w:asciiTheme="majorHAnsi" w:eastAsia="Cambria" w:hAnsiTheme="majorHAnsi" w:cs="Cambria"/>
          <w:iCs/>
          <w:sz w:val="20"/>
          <w:szCs w:val="20"/>
        </w:rPr>
      </w:pPr>
      <w:r w:rsidRPr="00C05717">
        <w:rPr>
          <w:rFonts w:asciiTheme="majorHAnsi" w:eastAsia="Cambria" w:hAnsiTheme="majorHAnsi" w:cs="Cambria"/>
          <w:iCs/>
          <w:sz w:val="20"/>
          <w:szCs w:val="20"/>
        </w:rPr>
        <w:t xml:space="preserve">Counting learning activities will run well and optimally if the teacher can organize learning strategies appropriately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{"citationItems":[{"id":"ITEM-1","itemData":{"DOI":"10.47178/jkip.v11i1.1614","ISSN":"2302-8378","abstract":"This research is a descriptive qualitative research located at SDN 213 Inpres Lemo, Sarira Village, North Makale District, Tana Toraja Regency. Sources of interview data were obtained through class I teachers, data collection techniques in this study were interviews, observation, and documentation. The data analysis used is data reduction, data presentation, and conclusion drawing, as well as testing the validity of the data by triangulation. The result of this research is the method or method used by the teacher in teaching students to read, write, and count. The purpose of this study was to find out the method used by class I teachers at DN 213 Inpres Lemo in teaching students to read, write and count.","author":[{"dropping-particle":"","family":"Padallingan","given":"Yohanis","non-dropping-particle":"","parse-names":false,"suffix":""}],"container-title":"Jurnal Keguruan dan Ilmu Pendidikan","id":"ITEM-1","issue":"1","issued":{"date-parts":[["2022","6","29"]]},"page":"13-19","title":"Identifikasi Cara Guru Mengajar Siswa Membaca, Menulis, Berhitung (Calistung) Pada Masa Pandemi di Kelas 1 SDN 213 Inpres Lemo","type":"article-journal","volume":"11"},"uris":["http://www.mendeley.com/documents/?uuid=170d6f0e-5a68-4733-99f4-70ef561bd59c"]}],"mendeley":{"formattedCitation":"(Padallingan, 2022)","plainTextFormattedCitation":"(Padallingan, 2022)","previouslyFormattedCitation":"(Padallingan, 2022)"},"properties":{"noteIndex":0},"schema":"https://github.com/citation-style-language/schema/raw/master/csl-citation.json"}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(Padallingan, 2022)</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Therefore, it is necessary to present a condition where mathematics learning is not only teacher-centered which only makes students passive subjects but meaningful and student-centered learning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{"citationItems":[{"id":"ITEM-1","itemData":{"DOI":"10.30738/union.v7i3.5910","ISSN":"2686-3669","abstract":"ABSTRAK Hasil belajar siswa SMAN 15 Surabaya materi eksponensial dan logaritma masih rendah. Kondisi ini dilatarbelakangi pasifnya siswa selama pembelajaran di kelas. Penelitian ini dilakukan guna mengetahui aktivitas dan hasil belajar siswa setelah mengikuti pembelajaran di kelas dengan diterapkannya pembelajaran berbasis masalah. Pelaksanaan kegiatan perbaikan dan peningkatan dalam pelaksanaan pembelajaran ini diterapkan pada siswa kelas X MIPA 1 SMAN 15 Surabaya sejumlah 32 siswa. Peneliti selaku pelaksana perbaikan proses pembelajaran dan subjek yang membantu pelaksana yaitu guru dan kepala sekolah. Observasi dan tes merupakan teknik yang digunakan peneliti untuk memperoleh data primer dari proses perbaikan pembelajaran ini kemudian dilakukan analisis data secara diskriptif kulitatif. Melalui perbaikan pelaksanaan proses pembelajaran menggunakan pembelajaran berbasis masalah ini diperoleh bahwa adanya perubahan peningkatan aktivitas dan perbaikan hasil belajar siswa kelas X MIPA 1 SMAN 15 Surabaya. Simpulan penelitian ini menyatakan bahwa dengan menerapkan metode pembelajaran PBL dapat meningkatkan aktivitas dan hasil belajar yang diperoleh siswa.","author":[{"dropping-particle":"","family":"Fathonah","given":"Nur","non-dropping-particle":"","parse-names":false,"suffix":""},{"dropping-particle":"","family":"Yudhawati","given":"Ulin","non-dropping-particle":"","parse-names":false,"suffix":""}],"container-title":"UNION: Jurnal Pendidikan Matematika","id":"ITEM-1","issue":"3","issued":{"date-parts":[["2019"]]},"title":"Peningkatan Aktivitas dan Hasil Belajar Siswa Melalui Model Problem Based Learning","type":"article-journal","volume":"7"},"uris":["http://www.mendeley.com/documents/?uuid=12a477f0-0da2-410a-83ac-c4301181d92e"]}],"mendeley":{"formattedCitation":"(Fathonah &amp; Yudhawati, 2019)","plainTextFormattedCitation":"(Fathonah &amp; Yudhawati, 2019)","previouslyFormattedCitation":"(Fathonah &amp; Yudhawati, 2019)"},"properties":{"noteIndex":0},"schema":"https://github.com/citation-style-language/schema/raw/master/csl-citation.json"}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(Fathonah &amp; Yudhawati, 2019)</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The reorientation of learning from teacher-centered to student-centered provides an opportunity for students to be more active in the learning process than the teacher. This student involvement can provide support for the development of their counting skills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{"citationItems":[{"id":"ITEM-1","itemData":{"DOI":"10.23887/jisd.v6i3.47949","ISSN":"2579-3276","abstract":"Teaching social science in elementary schools is not only conveying theories but also real forms of implementation and problems that often arise in the daily environment. This is be able to develop students' critical thinking in reconstructing events and the values contained therein. However, the media and learning methods used today have not been able to improve students' critical thinking skills. This study aims to analyse the improvement students' critical thinking skills through the application of collaboration between PBL and IBL models using video. The research subjects were elementary school students who were in grade 5, consisting of 30 students. The instrument used for data collection in this study was a descriptive description test. The data analysis technique used in this research is descriptive statistical technique. This research design uses classroom action research which consists of three cycles. The results showed that critical thinking skills increased in each cycle. In the first cycle, 50.33% of critical thinking skills in the second cycle increased to 69.83% and in the third cycle increased to 78.38%. So the conclusion from the results of this study is that the implementation of PBL and IBL models through video media is proven to be able to improve students' critical thinking skills, thus, it is proven that the integration between innovative learning models and learning media contributes positively to the improvement of students' abilities and competencies.","author":[{"dropping-particle":"","family":"Yusuf","given":"Munawir","non-dropping-particle":"","parse-names":false,"suffix":""},{"dropping-particle":"","family":"Subagya","given":"","non-dropping-particle":"","parse-names":false,"suffix":""},{"dropping-particle":"","family":"Maulana","given":"Iwan","non-dropping-particle":"","parse-names":false,"suffix":""},{"dropping-particle":"","family":"Budiarto","given":"Mochamad Kamil","non-dropping-particle":"","parse-names":false,"suffix":""}],"container-title":"Jurnal Ilmiah Sekolah Dasar","id":"ITEM-1","issue":"3","issued":{"date-parts":[["2022"]]},"page":"375-384","title":"Implementation of PBL and IBL Models Assisted by Video Media to Improve Critical Thinking Skills","type":"article-journal","volume":"6"},"uris":["http://www.mendeley.com/documents/?uuid=62992635-7647-49bd-a5c0-3f85b916f269"]}],"mendeley":{"formattedCitation":"(Yusuf et al., 2022)","plainTextFormattedCitation":"(Yusuf et al., 2022)","previouslyFormattedCitation":"(Yusuf et al., 2022)"},"properties":{"noteIndex":0},"schema":"https://github.com/citation-style-language/schema/raw/master/csl-citation.json"}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(Yusuf et al., 2022)</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For this reason, educators need to integrate learning methods that are more dynamic, encourage active student participation, and ensure that every student has the opportunity to develop. </w:t>
      </w:r>
      <w:proofErr w:type="gramStart"/>
      <w:r w:rsidRPr="00C05717">
        <w:rPr>
          <w:rFonts w:asciiTheme="majorHAnsi" w:eastAsia="Cambria" w:hAnsiTheme="majorHAnsi" w:cs="Cambria"/>
          <w:iCs/>
          <w:sz w:val="20"/>
          <w:szCs w:val="20"/>
        </w:rPr>
        <w:t>So</w:t>
      </w:r>
      <w:proofErr w:type="gramEnd"/>
      <w:r w:rsidRPr="00C05717">
        <w:rPr>
          <w:rFonts w:asciiTheme="majorHAnsi" w:eastAsia="Cambria" w:hAnsiTheme="majorHAnsi" w:cs="Cambria"/>
          <w:iCs/>
          <w:sz w:val="20"/>
          <w:szCs w:val="20"/>
        </w:rPr>
        <w:t xml:space="preserve"> in this study, researchers emphasize attempts to see the results of applying a learning model that can meet student’s learning needs, involving student’s roles in the learning process as a whole, so that student’s initial counting skills can improve.</w:t>
      </w:r>
    </w:p>
    <w:p w14:paraId="4B7B4DB4" w14:textId="77777777" w:rsidR="00C05717" w:rsidRPr="00C05717" w:rsidRDefault="00C05717" w:rsidP="00C05717">
      <w:pPr>
        <w:spacing w:before="0" w:line="240" w:lineRule="auto"/>
        <w:ind w:firstLine="720"/>
        <w:rPr>
          <w:rFonts w:asciiTheme="majorHAnsi" w:eastAsia="Cambria" w:hAnsiTheme="majorHAnsi" w:cs="Cambria"/>
          <w:iCs/>
          <w:sz w:val="20"/>
          <w:szCs w:val="20"/>
        </w:rPr>
      </w:pPr>
      <w:r w:rsidRPr="00C05717">
        <w:rPr>
          <w:rFonts w:asciiTheme="majorHAnsi" w:eastAsia="Cambria" w:hAnsiTheme="majorHAnsi" w:cs="Cambria"/>
          <w:iCs/>
          <w:sz w:val="20"/>
          <w:szCs w:val="20"/>
        </w:rPr>
        <w:t xml:space="preserve">One of the learning methods that can be applied is the Sorogan learning method. The Sorogan method is not a new teaching method, it is a learning approach that has been deeply rooted and has become part of the Indonesian educational tradition, especially in the scope of Islamic boarding schools or pesantren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{"citationItems":[{"id":"ITEM-1","itemData":{"author":[{"dropping-particle":"","family":"Albab","given":"Ulil","non-dropping-particle":"","parse-names":false,"suffix":""},{"dropping-particle":"","family":"Albab","given":"M. Ulul","non-dropping-particle":"","parse-names":false,"suffix":""},{"dropping-particle":"","family":"Novitasari","given":"","non-dropping-particle":"","parse-names":false,"suffix":""},{"dropping-particle":"","family":"Shodiq","given":"Ja'far","non-dropping-particle":"","parse-names":false,"suffix":""},{"dropping-particle":"","family":"Salsabilah","given":"Adinda Talia","non-dropping-particle":"","parse-names":false,"suffix":""}],"id":"ITEM-1","issue":"2","issued":{"date-parts":[["2022"]]},"page":"19-30","title":"Implementasi Metode Pembelajaran Sorogan Dan Bandongan Dalam Pengajaran Mata Pelajaran Pendidikan Agama Islam Di Sd Nu Banat Banin Lamongan","type":"article-journal","volume":"16"},"uris":["http://www.mendeley.com/documents/?uuid=4df86ee2-e7be-4ca0-9dc4-3a298c9adf9f"]}],"mendeley":{"formattedCitation":"(Albab et al., 2022)","plainTextFormattedCitation":"(Albab et al., 2022)","previouslyFormattedCitation":"(Albab et al., 2022)"},"properties":{"noteIndex":0},"schema":"https://github.com/citation-style-language/schema/raw/master/csl-citation.json"}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(Albab et al., 2022)</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Gazhali M. Bahri explained in his book that the essence of this Sorogan method is the active involvement of students in the learning process. Students are not only passive recipients of information but also play an active role in discussing and listening to the books or the work they bring, which is then known as “menyorog”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{"citationItems":[{"id":"ITEM-1","itemData":{"abstract":"Penelitian ini bertujuan untuk mengungkapkan efektivitas membaca Al-Qur’an dengan menggunakan metode sorogan di Pondok Pesantren Al-Falah Lulut serta faktor-faktor yang mendukung dan menghambat penerapan metode tersebut. Dengan penelitian ini diharapkan dapat memberikan masukan baru kepada semua pihak yang berkecimpung di lembaga seni membaca Al-Qur’an umumnya dan khususnya Podok Pesantren Al-Falah Lulut sebagai tempat penelitian ini. Penelitian ini merupakan penelitian kualitatif, dengan mengambil latar belakang Pondok Pesantren Al-Falah Lulut. Pengumpulan data dilakukan dengan mengadakan wawancara, observasi, dokumentasi, dan teaah kepustakaan. Analisis data yang digunakan adalah analisis kualitatif. Analisis kualitatif digunakan untuk menganalisa data yang tidak berupa angka yaitu dengan metode deduktif. Hasil penelitian menunjukan : Hasil pembelajaran membaca Al-Qur’an menggunakan metode sorogan untuk kategori tingkat satu, dua, adan tiga lumayan efektiv, dalam proses pembelajaranpun sangat disenangi anak-anak, tapi dalam penerapan metode sorogan ini sangat ditentukan oleh kemampuan dan keterampilan ustadz pembimbingnya, karena sistem sorogan dalam pengajaran merupakan sistem yang paling sulit dari seluruh sistem pendidikan islam.","author":[{"dropping-particle":"","family":"Anwar","given":"Chaerul","non-dropping-particle":"","parse-names":false,"suffix":""}],"container-title":"Mimbar Kampus: Jurnal Pendidikan &amp; Agama Islam","id":"ITEM-1","issue":"2","issued":{"date-parts":[["2019"]]},"page":"149-166","title":"Metode Sorogan Dalam Pembelajaran Membaca Al-Qur’an di Pondok Pesantren","type":"article-journal","volume":"18"},"uris":["http://www.mendeley.com/documents/?uuid=1de0e07e-5727-4523-b3a5-595c8219c316"]}],"mendeley":{"formattedCitation":"(Anwar, 2019)","plainTextFormattedCitation":"(Anwar, 2019)","previouslyFormattedCitation":"(Anwar, 2019)"},"properties":{"noteIndex":0},"schema":"https://github.com/citation-style-language/schema/raw/master/csl-citation.json"}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(Anwar, 2019)</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In his book, Abuddin Nata adds another perspective regarding the Sorogan method, he states that this method involves face-to-face meetings between teachers and students personally. Each student has the opportunity to deal directly with the teacher, bringing the book that is the focus of learning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{"citationItems":[{"id":"ITEM-1","itemData":{"DOI":"10.35127/kbl.v4i2.3592","ISSN":"2502-9649","abstract":"Penerapan Metode Sorogan dalam Meningkatkan Baca Kitab di Pondok Pesantren Tarbiyatun Nasyi’in\r Moh Afif\r STAI  Nazhatut Thullab Sampang\r Email: mafief03@gmail.com\r  \r  \r ABSTRAK\r Pondok Pesantren merupakan lembaga pendidikan Islam yang keberadaannya sangat penting dalam sejarah perkembangan Islam. Pondok Pesantren bertugas untuk mencetak manusia yang ahli dalam bidang agama,ilmu pengetahuan serta berakhlak mulia. Untuk itu, maka pesantren mengajarkan kitab wajib sebagai buku teks yang dikenal dengan sebutan kitab kuning. Untuk mempelajari kitab kuning ini digunakan metode tertentu.\r Metode pembelajaran merupakan salah satu faktor yang memegang peranan penting dalam rangka keberhasilan program pengajaran di pesantren.\r Adapun jenis penelitian ini adalah studi kasus.dengan menggunakan Pendekatan kualitatif. Untuk mendukung penelitian ini, dilakukan pengumpulan data yang bersumber dari: wawanara dengan pengurus dan santri Pondok Pesantren, Dokumen (file) serta observasi (pengamatan)\r Dalam penelitian ini diperoleh kesimpulan sebagai berikut: Pertama,  pelaksanaan pembelajaran sorogan di Pondok Tarbiyatun Nasyi’in adalah berdasarkan tingkat (jenjang) pendidikan. metode sorogan adalah dapat melatih santri untuk bersabar, tekun, trampil, dan giat belajar.\r  \r Kata Kunci: Pondok Pesantren, Metode Sorogan  \r  \r  \r Pendahuluan\r Pondok pesantren adalah salah satu bentuk lembaga pendidikan dan keagamaan yang ada di Indonesia. Secara lahiriyah, pesantren pada umumnya merupakan suatu komplek bangunan yang terdiri dari rumah kiyai, masjid, pondok tempat tinggal para santri dan ruang belajar. Disinilah santri tinggal beberapa tahun belajar langsung dari kiyai dalam hal ilmu agama[1].\r Pondok pesantren merupakan lembaga pendidikan Islam yang mempunyai ciri yang spesifik dan pada umumnya bersifat tradisional. Pada awal perkembangannya pondok pesantren telah mengalami bentuk sesuai dengan perubahan zaman, terutama adanya dampak ilmu pengetahuan dan teknologi. Namun perubahan bentuk pesantren bukan berarti pondok pesantren telah hilang kekhasannya, Dalam hal ini pondok pesantren tetap merupakan lembaga pendidikan islam yang tumbuh dan berkembang dari masyarakat untuk masyarakat[2].\r Pendidikan pesantren meskipun oleh sebagian orang di pandang sebelah mata, ternyata memiliki kelebihan dalam hal tertentu di banding dengan jenis lembaga pendidikan lainnya. Misalnya, tidak sedikit pesantren yang berhasil membekali kemampuan bahasa asing terhadap para santri – santrinnya. Par…","author":[{"dropping-particle":"","family":"Afif","given":"Moh","non-dropping-particle":"","parse-names":false,"suffix":""}],"container-title":"KABILAH : Journal of Social Community","id":"ITEM-1","issue":"2","issued":{"date-parts":[["2019"]]},"page":"34-43","title":"Penerapan Metode Sorogan dalam Meningkatkan Baca Kitab di Pondok Pesantren Tarbiyatun Nasyi’in","type":"article-journal","volume":"4"},"uris":["http://www.mendeley.com/documents/?uuid=318acb1a-fdf4-4f70-88f8-483452c148b8"]}],"mendeley":{"formattedCitation":"(Afif, 2019)","plainTextFormattedCitation":"(Afif, 2019)","previouslyFormattedCitation":"(Afif, 2019)"},"properties":{"noteIndex":0},"schema":"https://github.com/citation-style-language/schema/raw/master/csl-citation.json"}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(Afif, 2019)</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From this description, it can be concluded that learning using the Sorogan method can create space for direct exchange of ideas and knowledge between teachers and students. This is in line with the opinion of Khoirudin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{"citationItems":[{"id":"ITEM-1","itemData":{"DOI":"10.36513/sigma.v6i2.863","ISSN":"2502-0919","abstract":"Mathematical communication is the ability of students to explain an idea from the results of thinking with pictures, diagrams, or mathematical symbols verbally or in writing, so mathematical communication is very important for students to have. Among the learning models that can be applied in the learning process are Think Talk Write (TTW) learning models. By implementing Think Talk Write (TTW) students are expected to be able to practice their mathematical communication skills both orally and in writing. Based on the steps of Think Talk Write (TTW) namely thinking, speaking and writing it is very possible to improve students' mathematical communication skills. Because in the Think Talk Write (TTW) learning model students are trained to think independently of various learning sources. Steps of Think Talk Write (TTW) also trains students to speak to convey ideas from the ideas that have been found and to obtain the results of the discussion in their own language. Both of these steps accustom students to practice mathematical communication skills of students both verbally and in writing","author":[{"dropping-particle":"","family":"Retnowati","given":"Pipit","non-dropping-particle":"","parse-names":false,"suffix":""},{"dropping-particle":"","family":"Ekayanti","given":"Arta","non-dropping-particle":"","parse-names":false,"suffix":""}],"container-title":"Sigma","id":"ITEM-1","issue":"1","issued":{"date-parts":[["2020"]]},"page":"17","title":"Think Talk Write Sebagai Upaya Meningkatkan Komunikasi Matematis Siswa","type":"article-journal","volume":"6"},"uris":["http://www.mendeley.com/documents/?uuid=620329e7-c892-4883-91f1-212d36e5334a"]}],"mendeley":{"formattedCitation":"(Retnowati &amp; Ekayanti, 2020)","plainTextFormattedCitation":"(Retnowati &amp; Ekayanti, 2020)","previouslyFormattedCitation":"(Retnowati &amp; Ekayanti, 2020)"},"properties":{"noteIndex":0},"schema":"https://github.com/citation-style-language/schema/raw/master/csl-citation.json"}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(Retnowati &amp; Ekayanti, 2020)</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which states that the ability to communicate well between students and teachers can help in achieving learning objectives. </w:t>
      </w:r>
      <w:r w:rsidRPr="00C05717">
        <w:rPr>
          <w:rFonts w:asciiTheme="majorHAnsi" w:eastAsia="Cambria" w:hAnsiTheme="majorHAnsi" w:cs="Cambria"/>
          <w:iCs/>
          <w:sz w:val="20"/>
          <w:szCs w:val="20"/>
        </w:rPr>
        <w:lastRenderedPageBreak/>
        <w:t>Student activeness in discussing learning materials is the core of this method in cultivating a critical and collaborative spirit in the learning process.</w:t>
      </w:r>
    </w:p>
    <w:p w14:paraId="5460C389" w14:textId="77777777" w:rsidR="00C05717" w:rsidRPr="00C05717" w:rsidRDefault="00C05717" w:rsidP="00C05717">
      <w:pPr>
        <w:spacing w:before="0" w:line="240" w:lineRule="auto"/>
        <w:ind w:firstLine="720"/>
        <w:rPr>
          <w:rFonts w:asciiTheme="majorHAnsi" w:eastAsia="Cambria" w:hAnsiTheme="majorHAnsi" w:cs="Cambria"/>
          <w:iCs/>
          <w:sz w:val="20"/>
          <w:szCs w:val="20"/>
        </w:rPr>
      </w:pPr>
      <w:r w:rsidRPr="00C05717">
        <w:rPr>
          <w:rFonts w:asciiTheme="majorHAnsi" w:eastAsia="Cambria" w:hAnsiTheme="majorHAnsi" w:cs="Cambria"/>
          <w:iCs/>
          <w:sz w:val="20"/>
          <w:szCs w:val="20"/>
        </w:rPr>
        <w:t xml:space="preserve">The Sorogan method is a learning approach that emphasizes in-depth exploration of the learning needs of each individual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{"citationItems":[{"id":"ITEM-1","itemData":{"abstract":"Dalam Bahasa Arab, gramatika atau tata bahasa disebut dengan istilah qawa'id, yang mana memuat sistem aturan atau pola-pola yang berlaku pada suatu bahasa. Cabang dari ilmu qawa’id diantaranya adalah ilmu nahwu dan sharaf. Kedua ilmu tersebut merupakan inti dalam mempelajari gramatikal bahasa Arab. Salah satu tujuan mempelajari ilmu qawaid adalah mencegah terjadinya kesalahan dalam ucapan atau tulisan dalam bahasa Arab, serta membiasakan berbahasa yang tepat dan benar. Dalam hal ini metode sorogan dinilai sesuai untuk diterapkan dalam pembelajaran bahasa Arab, khususnya pada gramatikalnya. Metode sorogan sendiri adalah metode dimana seorang siswa menghadap kepada gurunya untuk membacakan suatu bacaan atau teks tang ada di dalam buku yang dipelajarinya. Sedangkan sang guru menyimak sambil mengoreksi dan mengevaluasi hasil bacaannya. Metode ini dinilai paling intensif, karena dilakukan seorang demi seorang sehingga ada kesempatan untuk tanya jawab secara langsung antara guru dan siswa, sehingga metode ini sesuai untuk diterapkan dalam meningkatkan pemahaman gramatikal bahasa Arab.","author":[{"dropping-particle":"","family":"Mardhotillah","given":"Fina Rizqina","non-dropping-particle":"","parse-names":false,"suffix":""}],"container-title":"SEMNASBAMA (SEMINAR NASIONAL BAHASA ARAB) V","id":"ITEM-1","issue":"5","issued":{"date-parts":[["2021"]]},"page":"53-60","title":"Penerapan Metode Sorogan Sebagai Upaya Meningkatkan Pemahaman Gramatikal Bahasa Arab","type":"article-journal","volume":"5"},"uris":["http://www.mendeley.com/documents/?uuid=9f7a0756-0fad-45e9-b60b-cfe7a0c986ab"]}],"mendeley":{"formattedCitation":"(Mardhotillah, 2021)","manualFormatting":"(Mardhotillah, 2021)","plainTextFormattedCitation":"(Mardhotillah, 2021)","previouslyFormattedCitation":"(Mardhotillah, 2021)"},"properties":{"noteIndex":0},"schema":"https://github.com/citation-style-language/schema/raw/master/csl-citation.json"}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(Mardhotillah, 2021)</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By providing space for questions, students are invited to be active in the learning process and encourage them to be able to understand concepts in depth. In its implementation, this method requires effective tools to guide students in responding to questions and investigating the material. Therefore, student worksheets are needed as supporting instruments that can guide students to achieve better understanding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{"citationItems":[{"id":"ITEM-1","itemData":{"DOI":"10.22219/jinop.v6i1.7168","abstract":"Metakognisi merupakan kompetensi inti yang harus dicapai pada kurikulum 2013 dengan adanya soal yang terintegrasi pada LKPD dapat mengarahkan siswa untuk menyadari pentingnya kemampuan memahami suatu materi, melatih kemandirian untuk belajar serta menyadari kekurangan dan kelebihannaya sehingga dapat melakukan kontrol terhadap pengetahuannya. Akan tetapi LKPD yang digunakan siswa selama ini belum mencakup semua rangkaian kegiatan metakognisi yang diharapkan. Penelitian ini bertujuan untuk mengembangkan LKPD yang berorientasi metakognisi. Model pada pengembangan ini menggunkan Model Dick dan Carey yang terdiri dari 10 langkah, (1) mengidentifikasi tujuan khusus, (2) menganalisis pembelajaran yang akan dilakukan, (3) menganalisis pembelajar dan konteks, (4) merumuskan tujuan khusus mengembangan suatu produk, (5) mengembangkan instrumen penilaian yang sesuai dengan kebutuhan, (6) mengembangkan strategi pembelajaran yang sesuai dengan karakteristik peserta didik, (7) mengembangkan dan memilih materi pembelajaran yang akan dikembangkan sesuai dengan kebutuhan, (8) merancang dan melaksanakan evaluasi formatif pembelajaran, (9) merevisi pembelajaran ketika tidak sesuai, dan (10) mendesain dan melakukan evaluasi sumatif. Hasil penelitian pengembangan ini memperoleh hasil validasi dari ahli materi dengan kriteria sangat valid (96,5%), hasil validasi desain memperoleh hasil 73,02% dengan kreteria perlu revisi, untuk uji coba kelompok kecil 86,67% dengan kreteria sangat menarik,dan uji coba lapang memperoleh hasil 85 % dengan kreteria baik.","author":[{"dropping-particle":"","family":"Amelia","given":"Delora jantung","non-dropping-particle":"","parse-names":false,"suffix":""},{"dropping-particle":"","family":"A.M.","given":"Ichsan Anshory","non-dropping-particle":"","parse-names":false,"suffix":""},{"dropping-particle":"","family":"Saputra","given":"Setiya Yunus","non-dropping-particle":"","parse-names":false,"suffix":""}],"container-title":"JINoP (Jurnal Inovasi Pembelajaran)","id":"ITEM-1","issue":"1","issued":{"date-parts":[["2020"]]},"page":"113-122","title":"Pengembangan LKPD Berorientasi Metakognisi Di SD Muhammadiyah 5 Bumiaji","type":"article-journal","volume":"6"},"uris":["http://www.mendeley.com/documents/?uuid=83f5e8ea-d2f2-418d-a4aa-f5b934be0114"]}],"mendeley":{"formattedCitation":"(Amelia et al., 2020)","plainTextFormattedCitation":"(Amelia et al., 2020)","previouslyFormattedCitation":"(Amelia et al., 2020)"},"properties":{"noteIndex":0},"schema":"https://github.com/citation-style-language/schema/raw/master/csl-citation.json"}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(Amelia et al., 2020)</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The use of graded worksheets can help students develop their skills gradually, starting from basic understanding to complex levels. The Graded Worksheet used consists of 5 levels, where at each level there are 3 stages of counting problems with different concepts (Adding numbers, completing number sentences, and determining the decomposition of integers). Number decomposition is the mathematical concept of decomposing whole numbers into smaller parts. This stems from the opinion of Fauzan et al. that developing early counting skills in early childhood, can be started by giving simple examples so that they are easier to understand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{"citationItems":[{"id":"ITEM-1","itemData":{"DOI":"10.47065/josh.v3i4.1436","abstract":"… media pembelajaran berhitung berbasis game untuk meningkatkan minat dan pemahaman siswa pada materi matematika. Hasil … Pada penelitian ini peneliti menggunakan pendekatan …","author":[{"dropping-particle":"","family":"Fauzan","given":"Ahmad","non-dropping-particle":"","parse-names":false,"suffix":""},{"dropping-particle":"","family":"Purnamasari","given":"Ade Irma","non-dropping-particle":"","parse-names":false,"suffix":""},{"dropping-particle":"","family":"Ajiz","given":"Abdul","non-dropping-particle":"","parse-names":false,"suffix":""},{"dropping-particle":"","family":"Kaslani","given":"","non-dropping-particle":"","parse-names":false,"suffix":""},{"dropping-particle":"","family":"Tohidi","given":"Edi","non-dropping-particle":"","parse-names":false,"suffix":""}],"container-title":"Journal of Information System Research","id":"ITEM-1","issue":"4","issued":{"date-parts":[["2022"]]},"page":"351-357","title":"Media Pembelajaran Berhitung Berbasis Game dengan Metode Addie Untuk Meningkatkan Prestasi","type":"article-journal","volume":"3"},"uris":["http://www.mendeley.com/documents/?uuid=19e24293-c3e5-4d2a-9e15-79b04a7b7288"]}],"mendeley":{"formattedCitation":"(Fauzan et al., 2022)","manualFormatting":"(Fauzan et al., 2022","plainTextFormattedCitation":"(Fauzan et al., 2022)","previouslyFormattedCitation":"(Fauzan et al., 2022)"},"properties":{"noteIndex":0},"schema":"https://github.com/citation-style-language/schema/raw/master/csl-citation.json"}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(Fauzan et al., 2022</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{"citationItems":[{"id":"ITEM-1","itemData":{"author":[{"dropping-particle":"","family":"Safitri","given":"Yanita Amalia","non-dropping-particle":"","parse-names":false,"suffix":""}],"id":"ITEM-1","issued":{"date-parts":[["2022"]]},"number-of-pages":"24","publisher":"UIN Syarif Hidayatullah Jakarta","title":"Pengembangan Perangkat Pembelajaran Berbasis Konsep untuk Meningkatkan Kemampuan Berpikir Intuitif Matematis Siswa","type":"thesis"},"uris":["http://www.mendeley.com/documents/?uuid=c60888ed-298a-4331-9395-d3fd3a1018f8"]}],"mendeley":{"formattedCitation":"(Safitri, 2022)","manualFormatting":"Safitri, 2022)","plainTextFormattedCitation":"(Safitri, 2022)","previouslyFormattedCitation":"(Safitri, 2022)"},"properties":{"noteIndex":0},"schema":"https://github.com/citation-style-language/schema/raw/master/csl-citation.json"}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Safitri, 2022)</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The indicators of early counting skills used as a reference in this study include the ability to count, identify the order of numbers, determine the sum of numbers, mention at least three decompositions (decompose) of a number, and provide illustrative examples of the use of counting operations in everyday life. </w:t>
      </w:r>
    </w:p>
    <w:p w14:paraId="1F3A541C" w14:textId="77777777" w:rsidR="00C05717" w:rsidRPr="00C05717" w:rsidRDefault="00C05717" w:rsidP="00C05717">
      <w:pPr>
        <w:spacing w:before="0" w:line="240" w:lineRule="auto"/>
        <w:ind w:firstLine="720"/>
        <w:rPr>
          <w:rFonts w:asciiTheme="majorHAnsi" w:eastAsia="Cambria" w:hAnsiTheme="majorHAnsi" w:cs="Cambria"/>
          <w:iCs/>
          <w:sz w:val="20"/>
          <w:szCs w:val="20"/>
        </w:rPr>
      </w:pPr>
      <w:r w:rsidRPr="00C05717">
        <w:rPr>
          <w:rFonts w:asciiTheme="majorHAnsi" w:eastAsia="Cambria" w:hAnsiTheme="majorHAnsi" w:cs="Cambria"/>
          <w:iCs/>
          <w:sz w:val="20"/>
          <w:szCs w:val="20"/>
        </w:rPr>
        <w:t xml:space="preserve">The collaboration between the application of the Sorogan method and the graded worksheets forms a strong foundation for continuous learning activities. If the Sorogan method tends to be an approach used in overcoming problems in practice, then theoretically the graded worksheet will support the development of student’s concept understanding gradually, the levels in the worksheet allow students to understand basic concepts before moving on to more complex levels. The combination of the Sorogan method and the graded worksheets becomes a strong synergy in bringing together practical and theoretical approaches in the learning process. Both complement each other in creating a learning environment and supporting the development of student’s understanding as a whole. </w:t>
      </w:r>
    </w:p>
    <w:p w14:paraId="318B0458" w14:textId="6876D817" w:rsidR="001466E5" w:rsidRPr="00C05717" w:rsidRDefault="00C05717" w:rsidP="00C05717">
      <w:pPr>
        <w:spacing w:before="0" w:line="240" w:lineRule="auto"/>
        <w:ind w:firstLine="720"/>
        <w:rPr>
          <w:rFonts w:asciiTheme="majorHAnsi" w:eastAsia="Cambria" w:hAnsiTheme="majorHAnsi" w:cs="Cambria"/>
          <w:iCs/>
          <w:sz w:val="20"/>
          <w:szCs w:val="20"/>
        </w:rPr>
      </w:pPr>
      <w:r w:rsidRPr="00C05717">
        <w:rPr>
          <w:rFonts w:asciiTheme="majorHAnsi" w:eastAsia="Cambria" w:hAnsiTheme="majorHAnsi" w:cs="Cambria"/>
          <w:iCs/>
          <w:sz w:val="20"/>
          <w:szCs w:val="20"/>
        </w:rPr>
        <w:t xml:space="preserve"> Previously, many attempts have been made to enhance student’s understanding of learning early counting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{"citationItems":[{"id":"ITEM-1","itemData":{"abstract":"Sempoa is one of the media to help stimulate students' numeracy skills. The purpose of writing this article is motivated by the existence of various student problems with mental arithmetic, namely the ability to count quickly and thoroughly, so that the interest in learning mathematics feels less than optimal, even though there are many benefits of achievement that can be seen and felt both in the long and short term. Among other things, training memory, concentration, and fine motor development of children. Increasing mathematics learning achievement in schools, especially in elementary schools, can be successful and maximally if supported by effective tools from the teacher. The use of the abacus counting aid includes factors that affect learning achievement that come from outside the student, especially on the subject of arithmetic in improving numeracy skill.","author":[{"dropping-particle":"","family":"Ahmad","given":"Amala Bilqis","non-dropping-particle":"","parse-names":false,"suffix":""}],"container-title":"Jurnal Pendidikan Dan Sains","id":"ITEM-1","issue":"2","issued":{"date-parts":[["2021"]]},"page":"341-353","title":"Peran Media Sempoa Sebagai Alat Bantu Stimulasi Kemampuan Berhitung Siswa","type":"article-journal","volume":"2"},"uris":["http://www.mendeley.com/documents/?uuid=d43fcdd3-c495-4fda-9faf-1aab96b509c0"]}],"mendeley":{"formattedCitation":"(Ahmad, 2021)","manualFormatting":"(Ahmad, 2021","plainTextFormattedCitation":"(Ahmad, 2021)","previouslyFormattedCitation":"(Ahmad, 2021)"},"properties":{"noteIndex":0},"schema":"https://github.com/citation-style-language/schema/raw/master/csl-citation.json"}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(Ahmad, 2021</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{"citationItems":[{"id":"ITEM-1","itemData":{"author":[{"dropping-particle":"","family":"Hutagalung","given":"Mike Amperawati","non-dropping-particle":"","parse-names":false,"suffix":""}],"container-title":"Jurnal PGMI STIT Al-Ittihadiyah Labuhanbatu Utara","id":"ITEM-1","issue":"3","issued":{"date-parts":[["2021"]]},"page":"254-269","title":"Meningkatkan Kemampuan Berhitung Permulaan Kelas I-A Dengan Menggunakan Metode PAIKEM (Pembelajaran, yang Efektif, Kreatif, Efektif, dan Menyenangkan) pada Pelajaran Matematika Di UPT SPF SD Negeri 060868 Medan Timur","type":"article-journal","volume":"II"},"uris":["http://www.mendeley.com/documents/?uuid=15c50172-8de4-443a-a20f-1c62c80a87b0"]}],"mendeley":{"formattedCitation":"(Hutagalung, 2021)","manualFormatting":"Hutagalung, 2021","plainTextFormattedCitation":"(Hutagalung, 2021)","previouslyFormattedCitation":"(Hutagalung, 2021)"},"properties":{"noteIndex":0},"schema":"https://github.com/citation-style-language/schema/raw/master/csl-citation.json"}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Hutagalung, 2021</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{"citationItems":[{"id":"ITEM-1","itemData":{"author":[{"dropping-particle":"","family":"Suarni","given":"Ni Luh","non-dropping-particle":"","parse-names":false,"suffix":""}],"container-title":"ALSYS: Jurnal Keislaman dan Ilmu Pendidikan","id":"ITEM-1","issue":"5","issued":{"date-parts":[["2022"]]},"page":"604-614","title":"Meningkatkan Kemampuan Berhitung Permulaan Anak Usia Dini Melalui Media ABAKUS Kelompok B TK PGRI 2 Mataram","type":"article-journal","volume":"2"},"uris":["http://www.mendeley.com/documents/?uuid=f4e57ccc-4cbb-4664-ab41-f8b1a8b66104"]}],"mendeley":{"formattedCitation":"(Suarni, 2022)","manualFormatting":"Suarni, 2022)","plainTextFormattedCitation":"(Suarni, 2022)","previouslyFormattedCitation":"(Suarni, 2022)"},"properties":{"noteIndex":0},"schema":"https://github.com/citation-style-language/schema/raw/master/csl-citation.json"}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Suarni, 2022)</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In addition, previous research results were also studied related to improving student’s understanding of mathematical concepts through the Sorogan method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{"citationItems":[{"id":"ITEM-1","itemData":{"abstract":"… kepada kemampuan perseorangan. Jika santri yang dianggap bisa oleh kyai maka santri … Penerapan metode penelitian pembelajaran dalam penelitian ini menggunakan metode …","author":[{"dropping-particle":"","family":"Saputri","given":"Dina","non-dropping-particle":"","parse-names":false,"suffix":""}],"id":"ITEM-1","issued":{"date-parts":[["2019"]]},"publisher":"UNIVERSITAS ISLAM NEGERI RADEN INTAN LAMPUNG","title":"Metode Sorogan Berbantu Tutor Sebaya untuk Meningkatkan Pemahaman Konsep Matematis Siswa MTsN 1 Bandar Lampung","type":"thesis"},"uris":["http://www.mendeley.com/documents/?uuid=b135448c-fa0a-4138-ac5c-feb4802f951c"]}],"mendeley":{"formattedCitation":"(Saputri, 2019)","manualFormatting":"(Saputri, 2019)","plainTextFormattedCitation":"(Saputri, 2019)","previouslyFormattedCitation":"(Saputri, 2019)"},"properties":{"noteIndex":0},"schema":"https://github.com/citation-style-language/schema/raw/master/csl-citation.json"}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(Saputri, 2019)</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xml:space="preserve">. Previous research shows that the sorogan method, applied in groups, is effective in improving student learning outcomes </w:t>
      </w:r>
      <w:r w:rsidRPr="00C05717">
        <w:rPr>
          <w:rFonts w:asciiTheme="majorHAnsi" w:eastAsia="Cambria" w:hAnsiTheme="majorHAnsi" w:cs="Cambria"/>
          <w:iCs/>
          <w:sz w:val="20"/>
          <w:szCs w:val="20"/>
        </w:rPr>
        <w:fldChar w:fldCharType="begin" w:fldLock="1"/>
      </w:r>
      <w:r w:rsidRPr="00C05717">
        <w:rPr>
          <w:rFonts w:asciiTheme="majorHAnsi" w:eastAsia="Cambria" w:hAnsiTheme="majorHAnsi" w:cs="Cambria"/>
          <w:iCs/>
          <w:sz w:val="20"/>
          <w:szCs w:val="20"/>
        </w:rPr>
        <w:instrText>ADDIN CSL_CITATION {"citationItems":[{"id":"ITEM-1","itemData":{"abstract":"Permasalahan penelitian ini adalah ketercapaian materi kurang tuntas dan kemampuan pemahaman konsep siswa kurang baik. Beberapa penyebabnya adalah waktu pembelajaran terbatas dan metode pembelajaran yang diterapkan tidak menjadi solusi. Hal ini mengakibatkan siswa tidak termotivasi untuk belajar di kelas yang berdampak pada rendahnya pemahaman konsep matematika siswa. Hal inilah yang mendorong peneliti melakukan penelitian pada kelas VIII A dengan tujuan untuk meningkatkan pemahaman konsep matematika dengan metode sorogan dengan menggunakan media LKS. Dan untuk mengetahui langkah-langkah penerapan metode sorogan yang tepat digunakan pondok pesantren Al Iman. Jenis penelitian yang digunakan adalah Penelitian Tindakan Kelas yang dilaksanakan dalam dua siklus dan menggunakan metode sorogan dalam proses pembelajarannya. Adapun langkah-langkah penerapan metode sorogan yaitu; a) Siswa terbagi atas 4-5 siwsa disetiap kelompok, b) Pembagian LKS sebagai bahan diskusi kelompok sebelum pembelajaran dilaksanakan, c) Menyorogkan hasil diskusi kelompok kepada guru bertujuan untuk evaluasi dari kesalaahan atau kekurangan dalam pemahaaman, d) Pemberian tugas untuk setiap individu, e) Menyorongan tugas individu kepada guru bersama kelompok. Hasil dari penelitian diperoleh jumlah skor dalam dua siklus mengalami peningkatan dan ketercapaian dari indikator keberhasilannya tercapai. Hal ini menunjukkan bahwa adanya peningkatan pemahaman konsep matematika siswa. Disimpulkan bahwa penerapan metode sorogan menggunakan LKS dapat meningkatkan pemahaman konsep matematika siswa kelas VIII A MTsS Al Iman tahun pelajaran 2021/2022. Kata-kata kunci: metode sorogan, media LKS, pemahaman konsep matematika.","author":[{"dropping-particle":"","family":"Mualifatul","given":"Ulfa","non-dropping-particle":"","parse-names":false,"suffix":""}],"id":"ITEM-1","issued":{"date-parts":[["2021"]]},"publisher":"Universitas Muhammadiyah Ponorogo","title":"Implementasi Metode Sorogan Untuk Meningkatkan Pemahaman Konsep Matematika Siswi Kelas VIII Pondok Pesantren Al Iman Ponorogo","type":"thesis"},"uris":["http://www.mendeley.com/documents/?uuid=7ac3a91b-7e90-434f-a544-687c7c4423ac"]}],"mendeley":{"formattedCitation":"(Mualifatul, 2021)","plainTextFormattedCitation":"(Mualifatul, 2021)","previouslyFormattedCitation":"(Mualifatul, 2021)"},"properties":{"noteIndex":0},"schema":"https://github.com/citation-style-language/schema/raw/master/csl-citation.json"}</w:instrText>
      </w:r>
      <w:r w:rsidRPr="00C05717">
        <w:rPr>
          <w:rFonts w:asciiTheme="majorHAnsi" w:eastAsia="Cambria" w:hAnsiTheme="majorHAnsi" w:cs="Cambria"/>
          <w:iCs/>
          <w:sz w:val="20"/>
          <w:szCs w:val="20"/>
        </w:rPr>
        <w:fldChar w:fldCharType="separate"/>
      </w:r>
      <w:r w:rsidRPr="00C05717">
        <w:rPr>
          <w:rFonts w:asciiTheme="majorHAnsi" w:eastAsia="Cambria" w:hAnsiTheme="majorHAnsi" w:cs="Cambria"/>
          <w:iCs/>
          <w:sz w:val="20"/>
          <w:szCs w:val="20"/>
        </w:rPr>
        <w:t>(Mualifatul, 2021)</w:t>
      </w:r>
      <w:r w:rsidRPr="00C05717">
        <w:rPr>
          <w:rFonts w:asciiTheme="majorHAnsi" w:eastAsia="Cambria" w:hAnsiTheme="majorHAnsi" w:cs="Cambria"/>
          <w:iCs/>
          <w:sz w:val="20"/>
          <w:szCs w:val="20"/>
        </w:rPr>
        <w:fldChar w:fldCharType="end"/>
      </w:r>
      <w:r w:rsidRPr="00C05717">
        <w:rPr>
          <w:rFonts w:asciiTheme="majorHAnsi" w:eastAsia="Cambria" w:hAnsiTheme="majorHAnsi" w:cs="Cambria"/>
          <w:iCs/>
          <w:sz w:val="20"/>
          <w:szCs w:val="20"/>
        </w:rPr>
        <w:t>. However, research on the effectiveness of the individual sorogan method is still very limited. This opens up the opportunity to examine the potential of the individual sorogan method in providing more individualized attention to each student and helping them reach their maximum potential by opening up the opportunity to be able to observe each individual in more depth. In addition, there are still few specific studies related to stimulating the abilities of low-grade students in learning beginning counting skills through the integration of the Sorogan method assisted by graded LKS. Thus, there is still a void of research that examines how the application of the sorogan method assisted by graded worksheets in stimulating the ability to count beginning in the low grades. Therefore, this study aims to explain how the application of sorogan-based learning in stimulating students' beginning counting skills and to find out how the development of the quality of beginning counting learning has been achieved</w:t>
      </w:r>
      <w:r w:rsidR="00EE7DA2" w:rsidRPr="00C05717">
        <w:rPr>
          <w:rFonts w:asciiTheme="majorHAnsi" w:eastAsia="Cambria" w:hAnsiTheme="majorHAnsi" w:cs="Cambria"/>
          <w:iCs/>
          <w:sz w:val="20"/>
          <w:szCs w:val="20"/>
        </w:rPr>
        <w:t>.</w:t>
      </w:r>
      <w:r w:rsidR="002F6F67" w:rsidRPr="00C05717">
        <w:rPr>
          <w:rFonts w:asciiTheme="majorHAnsi" w:eastAsia="Cambria" w:hAnsiTheme="majorHAnsi" w:cs="Cambria"/>
          <w:iCs/>
          <w:sz w:val="20"/>
          <w:szCs w:val="20"/>
        </w:rPr>
        <w:t xml:space="preserve"> </w:t>
      </w:r>
    </w:p>
    <w:p w14:paraId="165E56D0" w14:textId="2BDB93DE" w:rsidR="00505DD5" w:rsidRPr="000B3DEE" w:rsidRDefault="00505DD5" w:rsidP="00241FCA">
      <w:pPr>
        <w:spacing w:before="0" w:line="240" w:lineRule="auto"/>
        <w:rPr>
          <w:b/>
        </w:rPr>
      </w:pPr>
    </w:p>
    <w:p w14:paraId="3C3534A4" w14:textId="77777777" w:rsidR="00505DD5" w:rsidRPr="000B3DEE" w:rsidRDefault="009D73D5">
      <w:pPr>
        <w:pStyle w:val="Heading1"/>
        <w:numPr>
          <w:ilvl w:val="0"/>
          <w:numId w:val="1"/>
        </w:numPr>
        <w:spacing w:before="0" w:after="120" w:line="240" w:lineRule="auto"/>
        <w:ind w:left="284" w:hanging="284"/>
        <w:jc w:val="both"/>
        <w:rPr>
          <w:b w:val="0"/>
        </w:rPr>
      </w:pPr>
      <w:r w:rsidRPr="000B3DEE">
        <w:t>Method</w:t>
      </w:r>
    </w:p>
    <w:p w14:paraId="6AC50F09" w14:textId="56C917AC" w:rsidR="00927E6F" w:rsidRPr="00927E6F" w:rsidRDefault="00927E6F" w:rsidP="00927E6F">
      <w:pPr>
        <w:spacing w:line="240" w:lineRule="auto"/>
        <w:ind w:firstLine="720"/>
        <w:rPr>
          <w:rFonts w:asciiTheme="majorHAnsi" w:eastAsia="Cambria" w:hAnsiTheme="majorHAnsi" w:cs="Cambria"/>
          <w:iCs/>
          <w:sz w:val="20"/>
          <w:szCs w:val="20"/>
        </w:rPr>
      </w:pPr>
      <w:r w:rsidRPr="00927E6F">
        <w:rPr>
          <w:rFonts w:asciiTheme="majorHAnsi" w:eastAsia="Cambria" w:hAnsiTheme="majorHAnsi" w:cs="Cambria"/>
          <w:iCs/>
          <w:sz w:val="20"/>
          <w:szCs w:val="20"/>
        </w:rPr>
        <w:t xml:space="preserve">This research is </w:t>
      </w:r>
      <w:proofErr w:type="gramStart"/>
      <w:r w:rsidRPr="00927E6F">
        <w:rPr>
          <w:rFonts w:asciiTheme="majorHAnsi" w:eastAsia="Cambria" w:hAnsiTheme="majorHAnsi" w:cs="Cambria"/>
          <w:iCs/>
          <w:sz w:val="20"/>
          <w:szCs w:val="20"/>
        </w:rPr>
        <w:t>an action research</w:t>
      </w:r>
      <w:proofErr w:type="gramEnd"/>
      <w:r w:rsidRPr="00927E6F">
        <w:rPr>
          <w:rFonts w:asciiTheme="majorHAnsi" w:eastAsia="Cambria" w:hAnsiTheme="majorHAnsi" w:cs="Cambria"/>
          <w:iCs/>
          <w:sz w:val="20"/>
          <w:szCs w:val="20"/>
        </w:rPr>
        <w:t xml:space="preserve"> conducted in two cycles. Action research or AR is research that in the implementation makes a change, seeks improvement and refinement carried out in a planned, systematic, measurable, and structured manner </w:t>
      </w:r>
      <w:r w:rsidRPr="00927E6F">
        <w:rPr>
          <w:rFonts w:asciiTheme="majorHAnsi" w:eastAsia="Cambria" w:hAnsiTheme="majorHAnsi" w:cs="Cambria"/>
          <w:iCs/>
          <w:sz w:val="20"/>
          <w:szCs w:val="20"/>
        </w:rPr>
        <w:fldChar w:fldCharType="begin" w:fldLock="1"/>
      </w:r>
      <w:r w:rsidRPr="00927E6F">
        <w:rPr>
          <w:rFonts w:asciiTheme="majorHAnsi" w:eastAsia="Cambria" w:hAnsiTheme="majorHAnsi" w:cs="Cambria"/>
          <w:iCs/>
          <w:sz w:val="20"/>
          <w:szCs w:val="20"/>
        </w:rPr>
        <w:instrText>ADDIN CSL_CITATION {"citationItems":[{"id":"ITEM-1","itemData":{"ISBN":"978-979-692-573-5","author":[{"dropping-particle":"","family":"Putra","given":"Nusa","non-dropping-particle":"","parse-names":false,"suffix":""}],"editor":[{"dropping-particle":"","family":"Latifah","given":"Pipih","non-dropping-particle":"","parse-names":false,"suffix":""}],"id":"ITEM-1","issued":{"date-parts":[["2014"]]},"number-of-pages":"8","publisher":"PT REMAJA ROSDAKARYA","publisher-place":"Bandung","title":"PENELITIAN TINDAKAN","type":"book"},"uris":["http://www.mendeley.com/documents/?uuid=d5e9350f-832d-41fa-9e52-50c6861d9754"]}],"mendeley":{"formattedCitation":"(Putra, 2014)","plainTextFormattedCitation":"(Putra, 2014)","previouslyFormattedCitation":"(Putra, 2014)"},"properties":{"noteIndex":0},"schema":"https://github.com/citation-style-language/schema/raw/master/csl-citation.json"}</w:instrText>
      </w:r>
      <w:r w:rsidRPr="00927E6F">
        <w:rPr>
          <w:rFonts w:asciiTheme="majorHAnsi" w:eastAsia="Cambria" w:hAnsiTheme="majorHAnsi" w:cs="Cambria"/>
          <w:iCs/>
          <w:sz w:val="20"/>
          <w:szCs w:val="20"/>
        </w:rPr>
        <w:fldChar w:fldCharType="separate"/>
      </w:r>
      <w:r w:rsidRPr="00927E6F">
        <w:rPr>
          <w:rFonts w:asciiTheme="majorHAnsi" w:eastAsia="Cambria" w:hAnsiTheme="majorHAnsi" w:cs="Cambria"/>
          <w:iCs/>
          <w:sz w:val="20"/>
          <w:szCs w:val="20"/>
        </w:rPr>
        <w:t>(Putra, 2014)</w:t>
      </w:r>
      <w:r w:rsidRPr="00927E6F">
        <w:rPr>
          <w:rFonts w:asciiTheme="majorHAnsi" w:eastAsia="Cambria" w:hAnsiTheme="majorHAnsi" w:cs="Cambria"/>
          <w:iCs/>
          <w:sz w:val="20"/>
          <w:szCs w:val="20"/>
        </w:rPr>
        <w:fldChar w:fldCharType="end"/>
      </w:r>
      <w:r w:rsidRPr="00927E6F">
        <w:rPr>
          <w:rFonts w:asciiTheme="majorHAnsi" w:eastAsia="Cambria" w:hAnsiTheme="majorHAnsi" w:cs="Cambria"/>
          <w:iCs/>
          <w:sz w:val="20"/>
          <w:szCs w:val="20"/>
        </w:rPr>
        <w:t xml:space="preserve">. This action research aims to improve the learning process in the classroom so that the learning problems encountered can be resolved and students' learning abilities can be improved. Thus, research using this method can help researchers in applying the Sorogan method to stimulate early counting skills and develop the quality of learning for students even better. Therefore, this research is included in Classroom Action Research, regarding the idea of Kemmis &amp; Mc. Taggart model, which consists of spiral-shaped cycles that move in continuous stages </w:t>
      </w:r>
      <w:r w:rsidRPr="00927E6F">
        <w:rPr>
          <w:rFonts w:asciiTheme="majorHAnsi" w:eastAsia="Cambria" w:hAnsiTheme="majorHAnsi" w:cs="Cambria"/>
          <w:iCs/>
          <w:sz w:val="20"/>
          <w:szCs w:val="20"/>
        </w:rPr>
        <w:fldChar w:fldCharType="begin" w:fldLock="1"/>
      </w:r>
      <w:r w:rsidRPr="00927E6F">
        <w:rPr>
          <w:rFonts w:asciiTheme="majorHAnsi" w:eastAsia="Cambria" w:hAnsiTheme="majorHAnsi" w:cs="Cambria"/>
          <w:iCs/>
          <w:sz w:val="20"/>
          <w:szCs w:val="20"/>
        </w:rPr>
        <w:instrText>ADDIN CSL_CITATION {"citationItems":[{"id":"ITEM-1","itemData":{"DOI":"10.1007/978-981-4560-67-2","author":[{"dropping-particle":"","family":"Kemmis","given":"Stephen","non-dropping-particle":"","parse-names":false,"suffix":""},{"dropping-particle":"","family":"McTaggart","given":"Robin","non-dropping-particle":"","parse-names":false,"suffix":""}],"container-title":"Capítulo 1 del libro del mismo nombre, editado por la Deakin University","id":"ITEM-1","issued":{"date-parts":[["1988"]]},"page":"1-16","title":"The Action Research Planner","type":"article-journal"},"uris":["http://www.mendeley.com/documents/?uuid=1ef3830b-6907-4413-85e2-2fe0873ae59d"]}],"mendeley":{"formattedCitation":"(Kemmis &amp; McTaggart, 1988)","plainTextFormattedCitation":"(Kemmis &amp; McTaggart, 1988)"},"properties":{"noteIndex":0},"schema":"https://github.com/citation-style-language/schema/raw/master/csl-citation.json"}</w:instrText>
      </w:r>
      <w:r w:rsidRPr="00927E6F">
        <w:rPr>
          <w:rFonts w:asciiTheme="majorHAnsi" w:eastAsia="Cambria" w:hAnsiTheme="majorHAnsi" w:cs="Cambria"/>
          <w:iCs/>
          <w:sz w:val="20"/>
          <w:szCs w:val="20"/>
        </w:rPr>
        <w:fldChar w:fldCharType="separate"/>
      </w:r>
      <w:r w:rsidRPr="00927E6F">
        <w:rPr>
          <w:rFonts w:asciiTheme="majorHAnsi" w:eastAsia="Cambria" w:hAnsiTheme="majorHAnsi" w:cs="Cambria"/>
          <w:iCs/>
          <w:sz w:val="20"/>
          <w:szCs w:val="20"/>
        </w:rPr>
        <w:t>(Kemmis &amp; McTaggart, 1988)</w:t>
      </w:r>
      <w:r w:rsidRPr="00927E6F">
        <w:rPr>
          <w:rFonts w:asciiTheme="majorHAnsi" w:eastAsia="Cambria" w:hAnsiTheme="majorHAnsi" w:cs="Cambria"/>
          <w:iCs/>
          <w:sz w:val="20"/>
          <w:szCs w:val="20"/>
        </w:rPr>
        <w:fldChar w:fldCharType="end"/>
      </w:r>
      <w:r w:rsidRPr="00927E6F">
        <w:rPr>
          <w:rFonts w:asciiTheme="majorHAnsi" w:eastAsia="Cambria" w:hAnsiTheme="majorHAnsi" w:cs="Cambria"/>
          <w:iCs/>
          <w:sz w:val="20"/>
          <w:szCs w:val="20"/>
        </w:rPr>
        <w:t xml:space="preserve">. Where each cycle includes 4 stages, namely planning, action, observe, and reflection. In Kemmis &amp; McTaggart, action and observing activities are one unit, the two components are carried out at the same time.  Action research is often applied in the world of education by teachers in providing and or applying solutions to real problems they face, to realize a good and optimal learning process </w:t>
      </w:r>
      <w:r w:rsidRPr="00927E6F">
        <w:rPr>
          <w:rFonts w:asciiTheme="majorHAnsi" w:eastAsia="Cambria" w:hAnsiTheme="majorHAnsi" w:cs="Cambria"/>
          <w:iCs/>
          <w:sz w:val="20"/>
          <w:szCs w:val="20"/>
        </w:rPr>
        <w:fldChar w:fldCharType="begin" w:fldLock="1"/>
      </w:r>
      <w:r w:rsidRPr="00927E6F">
        <w:rPr>
          <w:rFonts w:asciiTheme="majorHAnsi" w:eastAsia="Cambria" w:hAnsiTheme="majorHAnsi" w:cs="Cambria"/>
          <w:iCs/>
          <w:sz w:val="20"/>
          <w:szCs w:val="20"/>
        </w:rPr>
        <w:instrText>ADDIN CSL_CITATION {"citationItems":[{"id":"ITEM-1","itemData":{"DOI":"10.24093/awej/vol11no1.32","abstract":"Teaching, as a profession, is becoming more and more challenging every day, not only because the teacher has to deal with unpredictable difficulties in constantly changing uncontrollable cultural and social contexts in the classrooms, but also for the need, nowadays, to be a curious explorer, a systematic investigator, and a creative innovation to solve his/her problems while teaching, using a flexible, self-reflective, critical, and production-oriented approach. Educational Action Research can provide a chance for the teacher to develop his/her critical thinking skills to become effective self-reliant problem-solver to the actual unique challenges that no one, but him/her, can better understand and administer in the classroom. Thus, s/he becomes enthusiastically involved in structuring and sharing a more comprehensive view of education. This paper investigates the possible outcomes of using action research in education, with an emphasis on teachers, after highlighting main critiques.  It starts by discussing first the early evolution of Action Research both as a notion and a structure.  Then, it reviews primary literature and research findings on the benefits of using Educational Action Research for teachers. The paper suggests that taking the role of teacher-research may help in achieving sustainable development at the level of the classroom and contributes in promoting the professional careers of teachers.","author":[{"dropping-particle":"","family":"Messikh","given":"Djihed","non-dropping-particle":"","parse-names":false,"suffix":""}],"container-title":"Arab World English Journal","id":"ITEM-1","issue":"1","issued":{"date-parts":[["2020"]]},"page":"482-488","title":"A Systematic Review of the Outcomes of Using Action Research in Education","type":"article-journal","volume":"11"},"uris":["http://www.mendeley.com/documents/?uuid=879579b5-1e38-4c80-8078-a191fe1875c1"]}],"mendeley":{"formattedCitation":"(Messikh, 2020)","plainTextFormattedCitation":"(Messikh, 2020)","previouslyFormattedCitation":"(Messikh, 2020)"},"properties":{"noteIndex":0},"schema":"https://github.com/citation-style-language/schema/raw/master/csl-citation.json"}</w:instrText>
      </w:r>
      <w:r w:rsidRPr="00927E6F">
        <w:rPr>
          <w:rFonts w:asciiTheme="majorHAnsi" w:eastAsia="Cambria" w:hAnsiTheme="majorHAnsi" w:cs="Cambria"/>
          <w:iCs/>
          <w:sz w:val="20"/>
          <w:szCs w:val="20"/>
        </w:rPr>
        <w:fldChar w:fldCharType="separate"/>
      </w:r>
      <w:r w:rsidRPr="00927E6F">
        <w:rPr>
          <w:rFonts w:asciiTheme="majorHAnsi" w:eastAsia="Cambria" w:hAnsiTheme="majorHAnsi" w:cs="Cambria"/>
          <w:iCs/>
          <w:sz w:val="20"/>
          <w:szCs w:val="20"/>
        </w:rPr>
        <w:t>(Messikh, 2020)</w:t>
      </w:r>
      <w:r w:rsidRPr="00927E6F">
        <w:rPr>
          <w:rFonts w:asciiTheme="majorHAnsi" w:eastAsia="Cambria" w:hAnsiTheme="majorHAnsi" w:cs="Cambria"/>
          <w:iCs/>
          <w:sz w:val="20"/>
          <w:szCs w:val="20"/>
        </w:rPr>
        <w:fldChar w:fldCharType="end"/>
      </w:r>
      <w:r w:rsidRPr="00927E6F">
        <w:rPr>
          <w:rFonts w:asciiTheme="majorHAnsi" w:eastAsia="Cambria" w:hAnsiTheme="majorHAnsi" w:cs="Cambria"/>
          <w:iCs/>
          <w:sz w:val="20"/>
          <w:szCs w:val="20"/>
        </w:rPr>
        <w:t>.</w:t>
      </w:r>
    </w:p>
    <w:p w14:paraId="4511840C" w14:textId="02BC6F59" w:rsidR="001466E5" w:rsidRPr="000B3DEE" w:rsidRDefault="00927E6F" w:rsidP="00927E6F">
      <w:pPr>
        <w:spacing w:before="0" w:line="240" w:lineRule="auto"/>
        <w:ind w:firstLine="720"/>
        <w:rPr>
          <w:sz w:val="20"/>
          <w:szCs w:val="20"/>
        </w:rPr>
      </w:pPr>
      <w:r w:rsidRPr="00927E6F">
        <w:rPr>
          <w:rFonts w:asciiTheme="majorHAnsi" w:eastAsia="Cambria" w:hAnsiTheme="majorHAnsi" w:cs="Cambria"/>
          <w:iCs/>
          <w:sz w:val="20"/>
          <w:szCs w:val="20"/>
        </w:rPr>
        <w:lastRenderedPageBreak/>
        <w:t xml:space="preserve">This case study research was conducted at Sanggar Bimbingan Permai Penang Malaysia (Learning Centre Permai) which is located at 12 G-2 Tun Dr. Awang Street, Bukit Jambul, 11900 Penang Malaysia, and took place in February 2023 in 3 meetings. The subjects in this study were 5 students of Calistung B class at Learning Center Permai, consisting of 3 girls and 2 boys. Techniques used to collect data include observation, interviews, and tests. The media used is a graded worksheet consisting of 5 categories of counting levels, including (1) level one worksheet (counting operations below 5); (2) level two worksheet (counting operations below 10); (3) level three worksheet (counting operations below 20); (4) level four worksheet (counting operations below 30); and (5) level five worksheet (counting operations below 40). The worksheets are arranged starting from basic addition practice questions to train student’s intuitiveness and find out the extent of student’s abilities. Completeness is not only seen in the percentage of student’s learning outcomes but also in their ability to answer the teacher's questions during Sorogan activities. Thus, in analyzing the data, descriptive analysis was used using simple statistical data, namely the percentage of indicator achievement which was then translated into sentence form. The data used is primary data obtained from the scores of learning outcomes on the LKS and student understanding in question-and-answer sessions during Sorogan activities. Then the total score was obtained using the following simple percentage formula  </w:t>
      </w:r>
      <w:r w:rsidR="001466E5" w:rsidRPr="00927E6F">
        <w:rPr>
          <w:rFonts w:asciiTheme="majorHAnsi" w:eastAsia="Cambria" w:hAnsiTheme="majorHAnsi" w:cs="Cambria"/>
          <w:iCs/>
          <w:sz w:val="20"/>
          <w:szCs w:val="20"/>
        </w:rPr>
        <w:fldChar w:fldCharType="begin" w:fldLock="1"/>
      </w:r>
      <w:r w:rsidR="001466E5" w:rsidRPr="00927E6F">
        <w:rPr>
          <w:rFonts w:asciiTheme="majorHAnsi" w:eastAsia="Cambria" w:hAnsiTheme="majorHAnsi" w:cs="Cambria"/>
          <w:iCs/>
          <w:sz w:val="20"/>
          <w:szCs w:val="20"/>
        </w:rPr>
        <w:instrText>ADDIN CSL_CITATION {"citationItems":[{"id":"ITEM-1","itemData":{"author":[{"dropping-particle":"","family":"Sukmawati","given":"Tya Nur","non-dropping-particle":"","parse-names":false,"suffix":""},{"dropping-particle":"","family":"Husna","given":"Nurul","non-dropping-particle":"","parse-names":false,"suffix":""},{"dropping-particle":"","family":"Wahyuni","given":"Rika","non-dropping-particle":"","parse-names":false,"suffix":""}],"container-title":"Jurnal Kependidikan: Jurnal Hasil Penelitian dan Kajian Kepustakaan di Bidang Pendidikan, Pengajaran dan Pembelajaran","id":"ITEM-1","issue":"4","issued":{"date-parts":[["2021"]]},"page":"968-980","title":"Analysis of Problem Solving Ability Judging from the Ethnicity of Junior High School Students on Social Arithmetic Materials in Singkawang City West Kalimantan","type":"article-journal","volume":"7"},"uris":["http://www.mendeley.com/documents/?uuid=5946ad7b-d090-45d8-827a-7b7ac69d8611"]}],"mendeley":{"formattedCitation":"(Sukmawati et al., 2021)","plainTextFormattedCitation":"(Sukmawati et al., 2021)","previouslyFormattedCitation":"(Sukmawati et al., 2021)"},"properties":{"noteIndex":0},"schema":"https://github.com/citation-style-language/schema/raw/master/csl-citation.json"}</w:instrText>
      </w:r>
      <w:r w:rsidR="001466E5" w:rsidRPr="00927E6F">
        <w:rPr>
          <w:rFonts w:asciiTheme="majorHAnsi" w:eastAsia="Cambria" w:hAnsiTheme="majorHAnsi" w:cs="Cambria"/>
          <w:iCs/>
          <w:sz w:val="20"/>
          <w:szCs w:val="20"/>
        </w:rPr>
        <w:fldChar w:fldCharType="separate"/>
      </w:r>
      <w:r w:rsidR="001466E5" w:rsidRPr="00927E6F">
        <w:rPr>
          <w:rFonts w:asciiTheme="majorHAnsi" w:eastAsia="Cambria" w:hAnsiTheme="majorHAnsi" w:cs="Cambria"/>
          <w:iCs/>
          <w:sz w:val="20"/>
          <w:szCs w:val="20"/>
        </w:rPr>
        <w:t>(Sukmawati et al., 2021)</w:t>
      </w:r>
      <w:r w:rsidR="001466E5" w:rsidRPr="00927E6F">
        <w:rPr>
          <w:rFonts w:asciiTheme="majorHAnsi" w:eastAsia="Cambria" w:hAnsiTheme="majorHAnsi" w:cs="Cambria"/>
          <w:iCs/>
          <w:sz w:val="20"/>
          <w:szCs w:val="20"/>
        </w:rPr>
        <w:fldChar w:fldCharType="end"/>
      </w:r>
      <w:r>
        <w:rPr>
          <w:rFonts w:asciiTheme="majorHAnsi" w:eastAsia="Cambria" w:hAnsiTheme="majorHAnsi" w:cs="Cambria"/>
          <w:iCs/>
          <w:sz w:val="20"/>
          <w:szCs w:val="20"/>
        </w:rPr>
        <w:t>.</w:t>
      </w:r>
    </w:p>
    <w:p w14:paraId="4C0398ED" w14:textId="77777777" w:rsidR="001466E5" w:rsidRPr="000B3DEE" w:rsidRDefault="001466E5" w:rsidP="001466E5">
      <w:pPr>
        <w:spacing w:before="0"/>
        <w:rPr>
          <w:sz w:val="20"/>
          <w:szCs w:val="20"/>
        </w:rPr>
      </w:pPr>
    </w:p>
    <w:p w14:paraId="65E03DC6" w14:textId="15DA32CE" w:rsidR="001466E5" w:rsidRPr="000B3DEE" w:rsidRDefault="00D72256" w:rsidP="00D138F1">
      <w:pPr>
        <w:pStyle w:val="ListParagraph"/>
        <w:spacing w:after="0"/>
        <w:ind w:left="0"/>
        <w:rPr>
          <w:sz w:val="20"/>
          <w:szCs w:val="20"/>
        </w:rPr>
      </w:pPr>
      <m:oMathPara>
        <m:oMath>
          <m:d>
            <m:dPr>
              <m:ctrlPr>
                <w:rPr>
                  <w:rFonts w:ascii="Cambria Math" w:hAnsi="Cambria Math"/>
                  <w:i/>
                  <w:sz w:val="20"/>
                  <w:szCs w:val="20"/>
                </w:rPr>
              </m:ctrlPr>
            </m:dPr>
            <m:e>
              <m:r>
                <w:rPr>
                  <w:rFonts w:ascii="Cambria Math" w:hAnsi="Cambria Math"/>
                  <w:sz w:val="20"/>
                  <w:szCs w:val="20"/>
                </w:rPr>
                <m:t>P</m:t>
              </m:r>
            </m:e>
          </m:d>
          <m:r>
            <w:rPr>
              <w:rFonts w:ascii="Cambria Math" w:hAnsi="Cambria Math"/>
              <w:sz w:val="20"/>
              <w:szCs w:val="20"/>
            </w:rPr>
            <m:t>=Percentage =</m:t>
          </m:r>
          <m:f>
            <m:fPr>
              <m:ctrlPr>
                <w:rPr>
                  <w:rFonts w:ascii="Cambria Math" w:hAnsi="Cambria Math"/>
                  <w:i/>
                  <w:sz w:val="20"/>
                  <w:szCs w:val="20"/>
                </w:rPr>
              </m:ctrlPr>
            </m:fPr>
            <m:num>
              <m:r>
                <w:rPr>
                  <w:rFonts w:ascii="Cambria Math" w:hAnsi="Cambria Math"/>
                  <w:sz w:val="20"/>
                  <w:szCs w:val="20"/>
                </w:rPr>
                <m:t>Obtained score</m:t>
              </m:r>
            </m:num>
            <m:den>
              <m:r>
                <w:rPr>
                  <w:rFonts w:ascii="Cambria Math" w:hAnsi="Cambria Math"/>
                  <w:sz w:val="20"/>
                  <w:szCs w:val="20"/>
                </w:rPr>
                <m:t>Maximal score</m:t>
              </m:r>
            </m:den>
          </m:f>
          <m:r>
            <w:rPr>
              <w:rFonts w:ascii="Cambria Math" w:hAnsi="Cambria Math"/>
              <w:sz w:val="20"/>
              <w:szCs w:val="20"/>
            </w:rPr>
            <m:t>×100%</m:t>
          </m:r>
        </m:oMath>
      </m:oMathPara>
    </w:p>
    <w:p w14:paraId="5551E722" w14:textId="77777777" w:rsidR="00D138F1" w:rsidRPr="000B3DEE" w:rsidRDefault="00D138F1" w:rsidP="00D138F1">
      <w:pPr>
        <w:pStyle w:val="ListParagraph"/>
        <w:spacing w:after="0"/>
        <w:ind w:left="0"/>
        <w:rPr>
          <w:sz w:val="20"/>
          <w:szCs w:val="20"/>
        </w:rPr>
      </w:pPr>
    </w:p>
    <w:p w14:paraId="29CD3411" w14:textId="2B742A33" w:rsidR="00E96689" w:rsidRPr="00DA63D4" w:rsidRDefault="00DA63D4" w:rsidP="00DA63D4">
      <w:pPr>
        <w:spacing w:before="0" w:line="240" w:lineRule="auto"/>
        <w:ind w:firstLine="720"/>
        <w:rPr>
          <w:rFonts w:asciiTheme="majorHAnsi" w:eastAsia="Cambria" w:hAnsiTheme="majorHAnsi" w:cs="Cambria"/>
          <w:iCs/>
          <w:sz w:val="20"/>
          <w:szCs w:val="20"/>
        </w:rPr>
      </w:pPr>
      <w:r w:rsidRPr="00DA63D4">
        <w:rPr>
          <w:rFonts w:asciiTheme="majorHAnsi" w:eastAsia="Cambria" w:hAnsiTheme="majorHAnsi" w:cs="Cambria"/>
          <w:iCs/>
          <w:sz w:val="20"/>
          <w:szCs w:val="20"/>
        </w:rPr>
        <w:t>After obtaining individual scores, then the average value of the whole on each indicator is calculated and then categorized according to the achievement of their initial counting learning outcomes, using the following predetermined criteria</w:t>
      </w:r>
      <w:r w:rsidR="00D138F1" w:rsidRPr="00DA63D4">
        <w:rPr>
          <w:rFonts w:asciiTheme="majorHAnsi" w:eastAsia="Cambria" w:hAnsiTheme="majorHAnsi" w:cs="Cambria"/>
          <w:iCs/>
          <w:sz w:val="20"/>
          <w:szCs w:val="20"/>
        </w:rPr>
        <w:t xml:space="preserve">. </w:t>
      </w:r>
      <w:r w:rsidR="001466E5" w:rsidRPr="00DA63D4">
        <w:rPr>
          <w:rFonts w:asciiTheme="majorHAnsi" w:eastAsia="Cambria" w:hAnsiTheme="majorHAnsi" w:cs="Cambria"/>
          <w:iCs/>
          <w:sz w:val="20"/>
          <w:szCs w:val="20"/>
        </w:rPr>
        <w:t xml:space="preserve"> </w:t>
      </w:r>
      <w:r w:rsidR="001466E5" w:rsidRPr="00DA63D4">
        <w:rPr>
          <w:rFonts w:asciiTheme="majorHAnsi" w:eastAsia="Cambria" w:hAnsiTheme="majorHAnsi" w:cs="Cambria"/>
          <w:iCs/>
          <w:sz w:val="20"/>
          <w:szCs w:val="20"/>
        </w:rPr>
        <w:fldChar w:fldCharType="begin" w:fldLock="1"/>
      </w:r>
      <w:r w:rsidR="001466E5" w:rsidRPr="00DA63D4">
        <w:rPr>
          <w:rFonts w:asciiTheme="majorHAnsi" w:eastAsia="Cambria" w:hAnsiTheme="majorHAnsi" w:cs="Cambria"/>
          <w:iCs/>
          <w:sz w:val="20"/>
          <w:szCs w:val="20"/>
        </w:rPr>
        <w:instrText>ADDIN CSL_CITATION {"citationItems":[{"id":"ITEM-1","itemData":{"ISBN":"9780333227794","abstract":"The study aimed to (1) investigate how the number card game is used to improve counting skills through among the students of group B at Raudlatul Athfal (RA) Wasilatul Huda Surabaya Udik and (2)see whether this media can increase students’ counting skills. The research method was Classroom Action Research. The results showed that there was an increase in teachers’ activities through playing number cards. In Cycle I, teachers’ activities reached 56.7% with the criteria of \"sufficient\", and an increase in counting skills through number card games in Cycle I got 59.3% in the “develop as expected” category. Meanwhile, in Cycle II, teachers’ activities rose to 83.3% with the criteria of “good” and counting skills through number card games jumped to76% in the “very good development” category. The results showed that playing the number cards game was able to significantly increase teachers’ activities and counting skills.","author":[{"dropping-particle":"","family":"Aneka","given":"","non-dropping-particle":"","parse-names":false,"suffix":""},{"dropping-particle":"","family":"Kurniasih","given":"Siti","non-dropping-particle":"","parse-names":false,"suffix":""},{"dropping-particle":"","family":"Hasanah","given":"Uswatun","non-dropping-particle":"","parse-names":false,"suffix":""},{"dropping-particle":"","family":"Regiana","given":"Wulan Tika","non-dropping-particle":"","parse-names":false,"suffix":""}],"container-title":"J-SANAK: Jurnal Kajian Anak","id":"ITEM-1","issue":"2","issued":{"date-parts":[["2022"]]},"page":"72-85","title":"Penggunaan Permainan Kartu Angka Untuk Meningkatkan Pemahaman Berhitung Pada Anak Raudlatul Athfal","type":"article-journal","volume":"3"},"uris":["http://www.mendeley.com/documents/?uuid=22149148-7648-404b-853f-aad16edb2f19"]}],"mendeley":{"formattedCitation":"(Aneka et al., 2022)","plainTextFormattedCitation":"(Aneka et al., 2022)","previouslyFormattedCitation":"(Aneka et al., 2022)"},"properties":{"noteIndex":0},"schema":"https://github.com/citation-style-language/schema/raw/master/csl-citation.json"}</w:instrText>
      </w:r>
      <w:r w:rsidR="001466E5" w:rsidRPr="00DA63D4">
        <w:rPr>
          <w:rFonts w:asciiTheme="majorHAnsi" w:eastAsia="Cambria" w:hAnsiTheme="majorHAnsi" w:cs="Cambria"/>
          <w:iCs/>
          <w:sz w:val="20"/>
          <w:szCs w:val="20"/>
        </w:rPr>
        <w:fldChar w:fldCharType="separate"/>
      </w:r>
      <w:r w:rsidR="001466E5" w:rsidRPr="00DA63D4">
        <w:rPr>
          <w:rFonts w:asciiTheme="majorHAnsi" w:eastAsia="Cambria" w:hAnsiTheme="majorHAnsi" w:cs="Cambria"/>
          <w:iCs/>
          <w:sz w:val="20"/>
          <w:szCs w:val="20"/>
        </w:rPr>
        <w:t>(Aneka et al., 2022)</w:t>
      </w:r>
      <w:r w:rsidR="001466E5" w:rsidRPr="00DA63D4">
        <w:rPr>
          <w:rFonts w:asciiTheme="majorHAnsi" w:eastAsia="Cambria" w:hAnsiTheme="majorHAnsi" w:cs="Cambria"/>
          <w:iCs/>
          <w:sz w:val="20"/>
          <w:szCs w:val="20"/>
        </w:rPr>
        <w:fldChar w:fldCharType="end"/>
      </w:r>
      <w:r w:rsidR="009D73D5" w:rsidRPr="00DA63D4">
        <w:rPr>
          <w:rFonts w:asciiTheme="majorHAnsi" w:eastAsia="Cambria" w:hAnsiTheme="majorHAnsi" w:cs="Cambria"/>
          <w:iCs/>
          <w:sz w:val="20"/>
          <w:szCs w:val="20"/>
        </w:rPr>
        <w:t xml:space="preserve"> </w:t>
      </w:r>
    </w:p>
    <w:p w14:paraId="20D2E40D" w14:textId="54E629FD" w:rsidR="00D138F1" w:rsidRPr="000B3DEE" w:rsidRDefault="00D138F1" w:rsidP="00066E7E">
      <w:pPr>
        <w:spacing w:before="0" w:line="240" w:lineRule="auto"/>
        <w:rPr>
          <w:sz w:val="20"/>
          <w:szCs w:val="20"/>
        </w:rPr>
      </w:pPr>
    </w:p>
    <w:p w14:paraId="55F6ADEB" w14:textId="7E2C061C" w:rsidR="00920AD2" w:rsidRPr="00D95023" w:rsidRDefault="00920AD2" w:rsidP="00D95023">
      <w:pPr>
        <w:pStyle w:val="Caption"/>
        <w:keepNext/>
        <w:spacing w:after="0"/>
        <w:rPr>
          <w:rFonts w:ascii="Times New Roman" w:eastAsia="Times New Roman" w:hAnsi="Times New Roman"/>
          <w:b w:val="0"/>
          <w:bCs w:val="0"/>
          <w:color w:val="0070C0"/>
          <w:sz w:val="20"/>
          <w:szCs w:val="20"/>
          <w:lang w:val="en-AU" w:eastAsia="tr-TR"/>
        </w:rPr>
      </w:pPr>
      <w:r w:rsidRPr="00D95023">
        <w:rPr>
          <w:rFonts w:ascii="Times New Roman" w:eastAsia="Times New Roman" w:hAnsi="Times New Roman"/>
          <w:color w:val="0070C0"/>
          <w:sz w:val="20"/>
          <w:szCs w:val="20"/>
          <w:lang w:val="en-AU" w:eastAsia="tr-TR"/>
        </w:rPr>
        <w:t xml:space="preserve">Table </w:t>
      </w:r>
      <w:r w:rsidRPr="00D95023">
        <w:rPr>
          <w:rFonts w:ascii="Times New Roman" w:eastAsia="Times New Roman" w:hAnsi="Times New Roman"/>
          <w:color w:val="0070C0"/>
          <w:sz w:val="20"/>
          <w:szCs w:val="20"/>
          <w:lang w:val="en-AU" w:eastAsia="tr-TR"/>
        </w:rPr>
        <w:fldChar w:fldCharType="begin"/>
      </w:r>
      <w:r w:rsidRPr="00D95023">
        <w:rPr>
          <w:rFonts w:ascii="Times New Roman" w:eastAsia="Times New Roman" w:hAnsi="Times New Roman"/>
          <w:color w:val="0070C0"/>
          <w:sz w:val="20"/>
          <w:szCs w:val="20"/>
          <w:lang w:val="en-AU" w:eastAsia="tr-TR"/>
        </w:rPr>
        <w:instrText xml:space="preserve"> SEQ Table \* ARABIC </w:instrText>
      </w:r>
      <w:r w:rsidRPr="00D95023">
        <w:rPr>
          <w:rFonts w:ascii="Times New Roman" w:eastAsia="Times New Roman" w:hAnsi="Times New Roman"/>
          <w:color w:val="0070C0"/>
          <w:sz w:val="20"/>
          <w:szCs w:val="20"/>
          <w:lang w:val="en-AU" w:eastAsia="tr-TR"/>
        </w:rPr>
        <w:fldChar w:fldCharType="separate"/>
      </w:r>
      <w:r w:rsidR="005966DD">
        <w:rPr>
          <w:rFonts w:ascii="Times New Roman" w:eastAsia="Times New Roman" w:hAnsi="Times New Roman"/>
          <w:noProof/>
          <w:color w:val="0070C0"/>
          <w:sz w:val="20"/>
          <w:szCs w:val="20"/>
          <w:lang w:val="en-AU" w:eastAsia="tr-TR"/>
        </w:rPr>
        <w:t>1</w:t>
      </w:r>
      <w:r w:rsidRPr="00D95023">
        <w:rPr>
          <w:rFonts w:ascii="Times New Roman" w:eastAsia="Times New Roman" w:hAnsi="Times New Roman"/>
          <w:color w:val="0070C0"/>
          <w:sz w:val="20"/>
          <w:szCs w:val="20"/>
          <w:lang w:val="en-AU" w:eastAsia="tr-TR"/>
        </w:rPr>
        <w:fldChar w:fldCharType="end"/>
      </w:r>
      <w:r w:rsidRPr="00D95023">
        <w:rPr>
          <w:rFonts w:ascii="Times New Roman" w:eastAsia="Times New Roman" w:hAnsi="Times New Roman"/>
          <w:color w:val="0070C0"/>
          <w:sz w:val="20"/>
          <w:szCs w:val="20"/>
          <w:lang w:val="en-AU" w:eastAsia="tr-TR"/>
        </w:rPr>
        <w:t xml:space="preserve">. </w:t>
      </w:r>
      <w:r w:rsidRPr="00D95023">
        <w:rPr>
          <w:rFonts w:ascii="Times New Roman" w:eastAsia="Times New Roman" w:hAnsi="Times New Roman"/>
          <w:b w:val="0"/>
          <w:bCs w:val="0"/>
          <w:color w:val="0070C0"/>
          <w:sz w:val="20"/>
          <w:szCs w:val="20"/>
          <w:lang w:val="en-AU" w:eastAsia="tr-TR"/>
        </w:rPr>
        <w:t>Category for Counting Skills</w:t>
      </w:r>
    </w:p>
    <w:tbl>
      <w:tblPr>
        <w:tblStyle w:val="TableGrid"/>
        <w:tblW w:w="0" w:type="auto"/>
        <w:tblLayout w:type="fixed"/>
        <w:tblLook w:val="04A0" w:firstRow="1" w:lastRow="0" w:firstColumn="1" w:lastColumn="0" w:noHBand="0" w:noVBand="1"/>
      </w:tblPr>
      <w:tblGrid>
        <w:gridCol w:w="4820"/>
        <w:gridCol w:w="4250"/>
      </w:tblGrid>
      <w:tr w:rsidR="00E96689" w:rsidRPr="000B3DEE" w14:paraId="342F1615" w14:textId="77777777" w:rsidTr="00A402B6">
        <w:trPr>
          <w:trHeight w:val="227"/>
        </w:trPr>
        <w:tc>
          <w:tcPr>
            <w:tcW w:w="4820" w:type="dxa"/>
            <w:tcBorders>
              <w:left w:val="nil"/>
              <w:bottom w:val="single" w:sz="4" w:space="0" w:color="000000" w:themeColor="text1"/>
              <w:right w:val="nil"/>
            </w:tcBorders>
          </w:tcPr>
          <w:p w14:paraId="18C6587E" w14:textId="77777777" w:rsidR="00E96689" w:rsidRPr="000B3DEE" w:rsidRDefault="00E96689" w:rsidP="00E96689">
            <w:pPr>
              <w:spacing w:before="0"/>
              <w:jc w:val="center"/>
              <w:rPr>
                <w:rFonts w:ascii="Times New Roman" w:eastAsia="Cambria" w:hAnsi="Times New Roman" w:cs="Times New Roman"/>
                <w:b/>
                <w:bCs/>
                <w:iCs/>
                <w:sz w:val="20"/>
                <w:szCs w:val="20"/>
              </w:rPr>
            </w:pPr>
            <w:r w:rsidRPr="000B3DEE">
              <w:rPr>
                <w:rFonts w:ascii="Times New Roman" w:eastAsia="Cambria" w:hAnsi="Times New Roman" w:cs="Times New Roman"/>
                <w:b/>
                <w:bCs/>
                <w:iCs/>
                <w:sz w:val="20"/>
                <w:szCs w:val="20"/>
              </w:rPr>
              <w:t>Final Total Score Percentage (%)</w:t>
            </w:r>
          </w:p>
        </w:tc>
        <w:tc>
          <w:tcPr>
            <w:tcW w:w="4250" w:type="dxa"/>
            <w:tcBorders>
              <w:left w:val="nil"/>
              <w:bottom w:val="single" w:sz="4" w:space="0" w:color="000000" w:themeColor="text1"/>
              <w:right w:val="nil"/>
            </w:tcBorders>
          </w:tcPr>
          <w:p w14:paraId="0C3DA6A7" w14:textId="77777777" w:rsidR="00E96689" w:rsidRPr="000B3DEE" w:rsidRDefault="00E96689" w:rsidP="00E96689">
            <w:pPr>
              <w:spacing w:before="0"/>
              <w:jc w:val="center"/>
              <w:rPr>
                <w:rFonts w:ascii="Times New Roman" w:eastAsia="Cambria" w:hAnsi="Times New Roman" w:cs="Times New Roman"/>
                <w:b/>
                <w:bCs/>
                <w:iCs/>
                <w:sz w:val="20"/>
                <w:szCs w:val="20"/>
              </w:rPr>
            </w:pPr>
            <w:r w:rsidRPr="000B3DEE">
              <w:rPr>
                <w:rFonts w:ascii="Times New Roman" w:eastAsia="Cambria" w:hAnsi="Times New Roman" w:cs="Times New Roman"/>
                <w:b/>
                <w:bCs/>
                <w:iCs/>
                <w:sz w:val="20"/>
                <w:szCs w:val="20"/>
              </w:rPr>
              <w:t>Category</w:t>
            </w:r>
          </w:p>
        </w:tc>
      </w:tr>
      <w:tr w:rsidR="00DA63D4" w:rsidRPr="000B3DEE" w14:paraId="71669209" w14:textId="77777777" w:rsidTr="00A402B6">
        <w:trPr>
          <w:trHeight w:val="227"/>
        </w:trPr>
        <w:tc>
          <w:tcPr>
            <w:tcW w:w="4820" w:type="dxa"/>
            <w:tcBorders>
              <w:left w:val="nil"/>
              <w:bottom w:val="nil"/>
              <w:right w:val="nil"/>
            </w:tcBorders>
          </w:tcPr>
          <w:p w14:paraId="0D6EED10" w14:textId="7FDB93E7" w:rsidR="00DA63D4" w:rsidRPr="000B3DEE" w:rsidRDefault="00DA63D4" w:rsidP="00DA63D4">
            <w:pPr>
              <w:spacing w:before="0"/>
              <w:rPr>
                <w:rFonts w:ascii="Times New Roman" w:eastAsia="Cambria" w:hAnsi="Times New Roman" w:cs="Times New Roman"/>
                <w:iCs/>
                <w:sz w:val="20"/>
                <w:szCs w:val="20"/>
              </w:rPr>
            </w:pPr>
            <m:oMathPara>
              <m:oMath>
                <m:r>
                  <m:rPr>
                    <m:sty m:val="p"/>
                  </m:rPr>
                  <w:rPr>
                    <w:rFonts w:ascii="Cambria Math" w:eastAsia="Cambria" w:hAnsi="Cambria Math" w:cs="Times New Roman"/>
                    <w:sz w:val="20"/>
                    <w:szCs w:val="20"/>
                  </w:rPr>
                  <m:t>75,1≤</m:t>
                </m:r>
                <m:r>
                  <w:rPr>
                    <w:rFonts w:ascii="Cambria Math" w:eastAsia="Cambria" w:hAnsi="Cambria Math" w:cs="Times New Roman"/>
                    <w:sz w:val="20"/>
                    <w:szCs w:val="20"/>
                  </w:rPr>
                  <m:t>P</m:t>
                </m:r>
                <m:r>
                  <m:rPr>
                    <m:sty m:val="p"/>
                  </m:rPr>
                  <w:rPr>
                    <w:rFonts w:ascii="Cambria Math" w:eastAsia="Cambria" w:hAnsi="Cambria Math" w:cs="Times New Roman"/>
                    <w:sz w:val="20"/>
                    <w:szCs w:val="20"/>
                  </w:rPr>
                  <m:t>≤100</m:t>
                </m:r>
              </m:oMath>
            </m:oMathPara>
          </w:p>
        </w:tc>
        <w:tc>
          <w:tcPr>
            <w:tcW w:w="4250" w:type="dxa"/>
            <w:tcBorders>
              <w:left w:val="nil"/>
              <w:bottom w:val="nil"/>
              <w:right w:val="nil"/>
            </w:tcBorders>
          </w:tcPr>
          <w:p w14:paraId="73893296" w14:textId="297554CC" w:rsidR="00DA63D4" w:rsidRPr="000B3DEE" w:rsidRDefault="00DA63D4" w:rsidP="00DA63D4">
            <w:pPr>
              <w:spacing w:before="0"/>
              <w:jc w:val="center"/>
              <w:rPr>
                <w:rFonts w:ascii="Times New Roman" w:eastAsia="Cambria" w:hAnsi="Times New Roman" w:cs="Times New Roman"/>
                <w:iCs/>
                <w:sz w:val="20"/>
                <w:szCs w:val="20"/>
              </w:rPr>
            </w:pPr>
            <w:r>
              <w:rPr>
                <w:rFonts w:ascii="Times New Roman" w:eastAsia="Cambria" w:hAnsi="Times New Roman" w:cs="Times New Roman"/>
                <w:iCs/>
                <w:sz w:val="20"/>
                <w:szCs w:val="20"/>
                <w:lang w:val="en-US"/>
              </w:rPr>
              <w:t>Growing Very Well</w:t>
            </w:r>
            <w:r w:rsidRPr="00E3061E">
              <w:rPr>
                <w:rFonts w:ascii="Times New Roman" w:eastAsia="Cambria" w:hAnsi="Times New Roman" w:cs="Times New Roman"/>
                <w:iCs/>
                <w:sz w:val="20"/>
                <w:szCs w:val="20"/>
              </w:rPr>
              <w:t xml:space="preserve"> </w:t>
            </w:r>
            <w:r>
              <w:rPr>
                <w:rFonts w:ascii="Times New Roman" w:eastAsia="Cambria" w:hAnsi="Times New Roman" w:cs="Times New Roman"/>
                <w:iCs/>
                <w:sz w:val="20"/>
                <w:szCs w:val="20"/>
                <w:lang w:val="en-US"/>
              </w:rPr>
              <w:t>GW</w:t>
            </w:r>
            <w:r w:rsidRPr="00E3061E">
              <w:rPr>
                <w:rFonts w:ascii="Times New Roman" w:eastAsia="Cambria" w:hAnsi="Times New Roman" w:cs="Times New Roman"/>
                <w:iCs/>
                <w:sz w:val="20"/>
                <w:szCs w:val="20"/>
              </w:rPr>
              <w:t>)</w:t>
            </w:r>
          </w:p>
        </w:tc>
      </w:tr>
      <w:tr w:rsidR="00DA63D4" w:rsidRPr="000B3DEE" w14:paraId="7BE5343D" w14:textId="77777777" w:rsidTr="00A402B6">
        <w:trPr>
          <w:trHeight w:val="227"/>
        </w:trPr>
        <w:tc>
          <w:tcPr>
            <w:tcW w:w="4820" w:type="dxa"/>
            <w:tcBorders>
              <w:top w:val="nil"/>
              <w:left w:val="nil"/>
              <w:bottom w:val="nil"/>
              <w:right w:val="nil"/>
            </w:tcBorders>
          </w:tcPr>
          <w:p w14:paraId="06FD52B1" w14:textId="362FE57F" w:rsidR="00DA63D4" w:rsidRPr="000B3DEE" w:rsidRDefault="00DA63D4" w:rsidP="00DA63D4">
            <w:pPr>
              <w:spacing w:before="0"/>
              <w:rPr>
                <w:rFonts w:ascii="Times New Roman" w:eastAsia="Cambria" w:hAnsi="Times New Roman" w:cs="Times New Roman"/>
                <w:iCs/>
                <w:sz w:val="20"/>
                <w:szCs w:val="20"/>
              </w:rPr>
            </w:pPr>
            <m:oMathPara>
              <m:oMath>
                <m:r>
                  <m:rPr>
                    <m:sty m:val="p"/>
                  </m:rPr>
                  <w:rPr>
                    <w:rFonts w:ascii="Cambria Math" w:eastAsia="Cambria" w:hAnsi="Cambria Math" w:cs="Times New Roman"/>
                    <w:sz w:val="20"/>
                    <w:szCs w:val="20"/>
                  </w:rPr>
                  <m:t>50,1≤</m:t>
                </m:r>
                <m:r>
                  <w:rPr>
                    <w:rFonts w:ascii="Cambria Math" w:eastAsia="Cambria" w:hAnsi="Cambria Math" w:cs="Times New Roman"/>
                    <w:sz w:val="20"/>
                    <w:szCs w:val="20"/>
                  </w:rPr>
                  <m:t>P</m:t>
                </m:r>
                <m:r>
                  <m:rPr>
                    <m:sty m:val="p"/>
                  </m:rPr>
                  <w:rPr>
                    <w:rFonts w:ascii="Cambria Math" w:eastAsia="Cambria" w:hAnsi="Cambria Math" w:cs="Times New Roman"/>
                    <w:sz w:val="20"/>
                    <w:szCs w:val="20"/>
                  </w:rPr>
                  <m:t>≤  75</m:t>
                </m:r>
              </m:oMath>
            </m:oMathPara>
          </w:p>
        </w:tc>
        <w:tc>
          <w:tcPr>
            <w:tcW w:w="4250" w:type="dxa"/>
            <w:tcBorders>
              <w:top w:val="nil"/>
              <w:left w:val="nil"/>
              <w:bottom w:val="nil"/>
              <w:right w:val="nil"/>
            </w:tcBorders>
          </w:tcPr>
          <w:p w14:paraId="3F5A07AC" w14:textId="407B374D" w:rsidR="00DA63D4" w:rsidRPr="000B3DEE" w:rsidRDefault="00DA63D4" w:rsidP="00DA63D4">
            <w:pPr>
              <w:spacing w:before="0"/>
              <w:jc w:val="center"/>
              <w:rPr>
                <w:rFonts w:ascii="Times New Roman" w:eastAsia="Cambria" w:hAnsi="Times New Roman" w:cs="Times New Roman"/>
                <w:iCs/>
                <w:sz w:val="20"/>
                <w:szCs w:val="20"/>
              </w:rPr>
            </w:pPr>
            <w:r>
              <w:rPr>
                <w:rFonts w:ascii="Times New Roman" w:eastAsia="Cambria" w:hAnsi="Times New Roman" w:cs="Times New Roman"/>
                <w:iCs/>
                <w:sz w:val="20"/>
                <w:szCs w:val="20"/>
                <w:lang w:val="en-US"/>
              </w:rPr>
              <w:t>Growing As Expectations</w:t>
            </w:r>
            <w:r w:rsidRPr="00E3061E">
              <w:rPr>
                <w:rFonts w:ascii="Times New Roman" w:eastAsia="Cambria" w:hAnsi="Times New Roman" w:cs="Times New Roman"/>
                <w:iCs/>
                <w:sz w:val="20"/>
                <w:szCs w:val="20"/>
              </w:rPr>
              <w:t xml:space="preserve"> </w:t>
            </w:r>
            <w:r>
              <w:rPr>
                <w:rFonts w:ascii="Times New Roman" w:eastAsia="Cambria" w:hAnsi="Times New Roman" w:cs="Times New Roman"/>
                <w:iCs/>
                <w:sz w:val="20"/>
                <w:szCs w:val="20"/>
                <w:lang w:val="en-US"/>
              </w:rPr>
              <w:t>(GE</w:t>
            </w:r>
            <w:r w:rsidRPr="00E3061E">
              <w:rPr>
                <w:rFonts w:ascii="Times New Roman" w:eastAsia="Cambria" w:hAnsi="Times New Roman" w:cs="Times New Roman"/>
                <w:iCs/>
                <w:sz w:val="20"/>
                <w:szCs w:val="20"/>
              </w:rPr>
              <w:t>)</w:t>
            </w:r>
          </w:p>
        </w:tc>
      </w:tr>
      <w:tr w:rsidR="00DA63D4" w:rsidRPr="000B3DEE" w14:paraId="6D651438" w14:textId="77777777" w:rsidTr="00A402B6">
        <w:trPr>
          <w:trHeight w:val="227"/>
        </w:trPr>
        <w:tc>
          <w:tcPr>
            <w:tcW w:w="4820" w:type="dxa"/>
            <w:tcBorders>
              <w:top w:val="nil"/>
              <w:left w:val="nil"/>
              <w:bottom w:val="nil"/>
              <w:right w:val="nil"/>
            </w:tcBorders>
          </w:tcPr>
          <w:p w14:paraId="2311F170" w14:textId="71E788DD" w:rsidR="00DA63D4" w:rsidRPr="000B3DEE" w:rsidRDefault="00DA63D4" w:rsidP="00DA63D4">
            <w:pPr>
              <w:spacing w:before="0"/>
              <w:rPr>
                <w:rFonts w:ascii="Times New Roman" w:eastAsia="Cambria" w:hAnsi="Times New Roman" w:cs="Times New Roman"/>
                <w:iCs/>
                <w:sz w:val="20"/>
                <w:szCs w:val="20"/>
              </w:rPr>
            </w:pPr>
            <m:oMathPara>
              <m:oMath>
                <m:r>
                  <m:rPr>
                    <m:sty m:val="p"/>
                  </m:rPr>
                  <w:rPr>
                    <w:rFonts w:ascii="Cambria Math" w:eastAsia="Cambria" w:hAnsi="Cambria Math" w:cs="Times New Roman"/>
                    <w:sz w:val="20"/>
                    <w:szCs w:val="20"/>
                  </w:rPr>
                  <m:t>25,1≤</m:t>
                </m:r>
                <m:r>
                  <w:rPr>
                    <w:rFonts w:ascii="Cambria Math" w:eastAsia="Cambria" w:hAnsi="Cambria Math" w:cs="Times New Roman"/>
                    <w:sz w:val="20"/>
                    <w:szCs w:val="20"/>
                  </w:rPr>
                  <m:t>P</m:t>
                </m:r>
                <m:r>
                  <m:rPr>
                    <m:sty m:val="p"/>
                  </m:rPr>
                  <w:rPr>
                    <w:rFonts w:ascii="Cambria Math" w:eastAsia="Cambria" w:hAnsi="Cambria Math" w:cs="Times New Roman"/>
                    <w:sz w:val="20"/>
                    <w:szCs w:val="20"/>
                  </w:rPr>
                  <m:t>≤  50</m:t>
                </m:r>
              </m:oMath>
            </m:oMathPara>
          </w:p>
        </w:tc>
        <w:tc>
          <w:tcPr>
            <w:tcW w:w="4250" w:type="dxa"/>
            <w:tcBorders>
              <w:top w:val="nil"/>
              <w:left w:val="nil"/>
              <w:bottom w:val="nil"/>
              <w:right w:val="nil"/>
            </w:tcBorders>
          </w:tcPr>
          <w:p w14:paraId="0268111C" w14:textId="30390416" w:rsidR="00DA63D4" w:rsidRPr="000B3DEE" w:rsidRDefault="00DA63D4" w:rsidP="00DA63D4">
            <w:pPr>
              <w:spacing w:before="0"/>
              <w:jc w:val="center"/>
              <w:rPr>
                <w:rFonts w:ascii="Times New Roman" w:eastAsia="Cambria" w:hAnsi="Times New Roman" w:cs="Times New Roman"/>
                <w:iCs/>
                <w:sz w:val="20"/>
                <w:szCs w:val="20"/>
              </w:rPr>
            </w:pPr>
            <w:r>
              <w:rPr>
                <w:rFonts w:ascii="Times New Roman" w:eastAsia="Cambria" w:hAnsi="Times New Roman" w:cs="Times New Roman"/>
                <w:iCs/>
                <w:sz w:val="20"/>
                <w:szCs w:val="20"/>
                <w:lang w:val="en-US"/>
              </w:rPr>
              <w:t>Start Growing</w:t>
            </w:r>
            <w:r w:rsidRPr="00E3061E">
              <w:rPr>
                <w:rFonts w:ascii="Times New Roman" w:eastAsia="Cambria" w:hAnsi="Times New Roman" w:cs="Times New Roman"/>
                <w:iCs/>
                <w:sz w:val="20"/>
                <w:szCs w:val="20"/>
              </w:rPr>
              <w:t xml:space="preserve"> (</w:t>
            </w:r>
            <w:r>
              <w:rPr>
                <w:rFonts w:ascii="Times New Roman" w:eastAsia="Cambria" w:hAnsi="Times New Roman" w:cs="Times New Roman"/>
                <w:iCs/>
                <w:sz w:val="20"/>
                <w:szCs w:val="20"/>
                <w:lang w:val="en-US"/>
              </w:rPr>
              <w:t>SG</w:t>
            </w:r>
            <w:r w:rsidRPr="00E3061E">
              <w:rPr>
                <w:rFonts w:ascii="Times New Roman" w:eastAsia="Cambria" w:hAnsi="Times New Roman" w:cs="Times New Roman"/>
                <w:iCs/>
                <w:sz w:val="20"/>
                <w:szCs w:val="20"/>
              </w:rPr>
              <w:t>)</w:t>
            </w:r>
          </w:p>
        </w:tc>
      </w:tr>
      <w:tr w:rsidR="00DA63D4" w:rsidRPr="000B3DEE" w14:paraId="5F3F5565" w14:textId="77777777" w:rsidTr="00A402B6">
        <w:trPr>
          <w:trHeight w:val="227"/>
        </w:trPr>
        <w:tc>
          <w:tcPr>
            <w:tcW w:w="4820" w:type="dxa"/>
            <w:tcBorders>
              <w:top w:val="nil"/>
              <w:left w:val="nil"/>
              <w:bottom w:val="single" w:sz="4" w:space="0" w:color="auto"/>
              <w:right w:val="nil"/>
            </w:tcBorders>
          </w:tcPr>
          <w:p w14:paraId="59C59943" w14:textId="2710B768" w:rsidR="00DA63D4" w:rsidRPr="000B3DEE" w:rsidRDefault="00DA63D4" w:rsidP="00DA63D4">
            <w:pPr>
              <w:spacing w:before="0"/>
              <w:rPr>
                <w:rFonts w:ascii="Times New Roman" w:eastAsia="Cambria" w:hAnsi="Times New Roman" w:cs="Times New Roman"/>
                <w:iCs/>
                <w:sz w:val="20"/>
                <w:szCs w:val="20"/>
              </w:rPr>
            </w:pPr>
            <m:oMathPara>
              <m:oMath>
                <m:r>
                  <m:rPr>
                    <m:sty m:val="p"/>
                  </m:rPr>
                  <w:rPr>
                    <w:rFonts w:ascii="Cambria Math" w:eastAsia="Cambria" w:hAnsi="Cambria Math" w:cs="Times New Roman"/>
                    <w:sz w:val="20"/>
                    <w:szCs w:val="20"/>
                  </w:rPr>
                  <m:t xml:space="preserve">  0    ≤</m:t>
                </m:r>
                <m:r>
                  <w:rPr>
                    <w:rFonts w:ascii="Cambria Math" w:eastAsia="Cambria" w:hAnsi="Cambria Math" w:cs="Times New Roman"/>
                    <w:sz w:val="20"/>
                    <w:szCs w:val="20"/>
                  </w:rPr>
                  <m:t>P</m:t>
                </m:r>
                <m:r>
                  <m:rPr>
                    <m:sty m:val="p"/>
                  </m:rPr>
                  <w:rPr>
                    <w:rFonts w:ascii="Cambria Math" w:eastAsia="Cambria" w:hAnsi="Cambria Math" w:cs="Times New Roman"/>
                    <w:sz w:val="20"/>
                    <w:szCs w:val="20"/>
                  </w:rPr>
                  <m:t>≤  25</m:t>
                </m:r>
              </m:oMath>
            </m:oMathPara>
          </w:p>
        </w:tc>
        <w:tc>
          <w:tcPr>
            <w:tcW w:w="4250" w:type="dxa"/>
            <w:tcBorders>
              <w:top w:val="nil"/>
              <w:left w:val="nil"/>
              <w:bottom w:val="single" w:sz="4" w:space="0" w:color="auto"/>
              <w:right w:val="nil"/>
            </w:tcBorders>
          </w:tcPr>
          <w:p w14:paraId="0C9585EC" w14:textId="42130229" w:rsidR="00DA63D4" w:rsidRPr="000B3DEE" w:rsidRDefault="00DA63D4" w:rsidP="00DA63D4">
            <w:pPr>
              <w:spacing w:before="0"/>
              <w:jc w:val="center"/>
              <w:rPr>
                <w:rFonts w:ascii="Times New Roman" w:eastAsia="Cambria" w:hAnsi="Times New Roman" w:cs="Times New Roman"/>
                <w:iCs/>
                <w:sz w:val="20"/>
                <w:szCs w:val="20"/>
              </w:rPr>
            </w:pPr>
            <w:r>
              <w:rPr>
                <w:rFonts w:ascii="Times New Roman" w:eastAsia="Cambria" w:hAnsi="Times New Roman" w:cs="Times New Roman"/>
                <w:iCs/>
                <w:sz w:val="20"/>
                <w:szCs w:val="20"/>
                <w:lang w:val="en-US"/>
              </w:rPr>
              <w:t>Not Growing</w:t>
            </w:r>
            <w:r w:rsidRPr="00E3061E">
              <w:rPr>
                <w:rFonts w:ascii="Times New Roman" w:eastAsia="Cambria" w:hAnsi="Times New Roman" w:cs="Times New Roman"/>
                <w:iCs/>
                <w:sz w:val="20"/>
                <w:szCs w:val="20"/>
              </w:rPr>
              <w:t xml:space="preserve"> (</w:t>
            </w:r>
            <w:r>
              <w:rPr>
                <w:rFonts w:ascii="Times New Roman" w:eastAsia="Cambria" w:hAnsi="Times New Roman" w:cs="Times New Roman"/>
                <w:iCs/>
                <w:sz w:val="20"/>
                <w:szCs w:val="20"/>
                <w:lang w:val="en-US"/>
              </w:rPr>
              <w:t>NG</w:t>
            </w:r>
            <w:r w:rsidRPr="00E3061E">
              <w:rPr>
                <w:rFonts w:ascii="Times New Roman" w:eastAsia="Cambria" w:hAnsi="Times New Roman" w:cs="Times New Roman"/>
                <w:iCs/>
                <w:sz w:val="20"/>
                <w:szCs w:val="20"/>
              </w:rPr>
              <w:t>)</w:t>
            </w:r>
          </w:p>
        </w:tc>
      </w:tr>
    </w:tbl>
    <w:p w14:paraId="36C01855" w14:textId="77777777" w:rsidR="008A02F9" w:rsidRPr="000B3DEE" w:rsidRDefault="008A02F9" w:rsidP="001466E5">
      <w:pPr>
        <w:spacing w:before="0" w:line="240" w:lineRule="auto"/>
        <w:ind w:firstLine="284"/>
        <w:rPr>
          <w:rFonts w:ascii="Cambria" w:hAnsi="Cambria"/>
          <w:sz w:val="20"/>
          <w:szCs w:val="20"/>
        </w:rPr>
      </w:pPr>
    </w:p>
    <w:p w14:paraId="60315191" w14:textId="3563C883" w:rsidR="00505DD5" w:rsidRDefault="00DA63D4" w:rsidP="00DA63D4">
      <w:pPr>
        <w:spacing w:before="0" w:line="240" w:lineRule="auto"/>
        <w:ind w:firstLine="720"/>
        <w:rPr>
          <w:rFonts w:asciiTheme="majorHAnsi" w:eastAsia="Cambria" w:hAnsiTheme="majorHAnsi" w:cs="Cambria"/>
          <w:iCs/>
          <w:sz w:val="20"/>
          <w:szCs w:val="20"/>
        </w:rPr>
      </w:pPr>
      <w:r w:rsidRPr="00DA63D4">
        <w:rPr>
          <w:rFonts w:asciiTheme="majorHAnsi" w:eastAsia="Cambria" w:hAnsiTheme="majorHAnsi" w:cs="Cambria"/>
          <w:iCs/>
          <w:sz w:val="20"/>
          <w:szCs w:val="20"/>
        </w:rPr>
        <w:t xml:space="preserve">After grouping based on the above categories, it can be analyzed and concluded about the development of the achievement of students' arithmetic learning outcomes with the application of the Sorogan method assisted by Graded LKS. In this study, learning is said to be complete if the achievement of students' initial counting understanding has reached </w:t>
      </w:r>
      <m:oMath>
        <m:r>
          <m:rPr>
            <m:sty m:val="p"/>
          </m:rPr>
          <w:rPr>
            <w:rFonts w:ascii="Cambria Math" w:eastAsia="Cambria" w:hAnsi="Cambria Math" w:cs="Cambria"/>
            <w:sz w:val="20"/>
            <w:szCs w:val="20"/>
          </w:rPr>
          <m:t>≥75%</m:t>
        </m:r>
      </m:oMath>
      <w:r w:rsidRPr="00DA63D4">
        <w:rPr>
          <w:rFonts w:asciiTheme="majorHAnsi" w:eastAsia="Cambria" w:hAnsiTheme="majorHAnsi" w:cs="Cambria"/>
          <w:iCs/>
          <w:sz w:val="20"/>
          <w:szCs w:val="20"/>
        </w:rPr>
        <w:t xml:space="preserve"> or Growing Very Well, with the number of students who have fulfilled reaching a percentage of </w:t>
      </w:r>
      <m:oMath>
        <m:r>
          <m:rPr>
            <m:sty m:val="p"/>
          </m:rPr>
          <w:rPr>
            <w:rFonts w:ascii="Cambria Math" w:eastAsia="Cambria" w:hAnsi="Cambria Math" w:cs="Cambria"/>
            <w:sz w:val="20"/>
            <w:szCs w:val="20"/>
          </w:rPr>
          <m:t>≥80%</m:t>
        </m:r>
      </m:oMath>
      <w:r w:rsidRPr="00DA63D4">
        <w:rPr>
          <w:rFonts w:asciiTheme="majorHAnsi" w:eastAsia="Cambria" w:hAnsiTheme="majorHAnsi" w:cs="Cambria"/>
          <w:iCs/>
          <w:sz w:val="20"/>
          <w:szCs w:val="20"/>
        </w:rPr>
        <w:t xml:space="preserve"> of all students who participate in a series of lessons</w:t>
      </w:r>
      <w:r w:rsidR="0076203C" w:rsidRPr="00DA63D4">
        <w:rPr>
          <w:rFonts w:asciiTheme="majorHAnsi" w:eastAsia="Cambria" w:hAnsiTheme="majorHAnsi" w:cs="Cambria"/>
          <w:iCs/>
          <w:sz w:val="20"/>
          <w:szCs w:val="20"/>
        </w:rPr>
        <w:t>.</w:t>
      </w:r>
    </w:p>
    <w:p w14:paraId="50101B90" w14:textId="77777777" w:rsidR="00DA63D4" w:rsidRPr="00DA63D4" w:rsidRDefault="00DA63D4" w:rsidP="00DA63D4">
      <w:pPr>
        <w:spacing w:before="0" w:line="240" w:lineRule="auto"/>
        <w:rPr>
          <w:rFonts w:asciiTheme="majorHAnsi" w:eastAsia="Cambria" w:hAnsiTheme="majorHAnsi" w:cs="Cambria"/>
          <w:iCs/>
          <w:sz w:val="20"/>
          <w:szCs w:val="20"/>
        </w:rPr>
      </w:pPr>
    </w:p>
    <w:p w14:paraId="780B4CAA" w14:textId="77777777" w:rsidR="00505DD5" w:rsidRPr="000B3DEE" w:rsidRDefault="009D73D5">
      <w:pPr>
        <w:pStyle w:val="Heading1"/>
        <w:numPr>
          <w:ilvl w:val="0"/>
          <w:numId w:val="1"/>
        </w:numPr>
        <w:spacing w:before="0" w:after="120" w:line="240" w:lineRule="auto"/>
        <w:ind w:left="284" w:hanging="284"/>
        <w:jc w:val="both"/>
        <w:rPr>
          <w:b w:val="0"/>
        </w:rPr>
      </w:pPr>
      <w:r w:rsidRPr="000B3DEE">
        <w:t>Result and Discussion</w:t>
      </w:r>
    </w:p>
    <w:p w14:paraId="56546684" w14:textId="3E685E70" w:rsidR="006C6F65" w:rsidRPr="000B3DEE" w:rsidRDefault="006C6F65" w:rsidP="006C6F65">
      <w:pPr>
        <w:spacing w:before="0" w:line="240" w:lineRule="auto"/>
        <w:rPr>
          <w:b/>
          <w:bCs/>
          <w:sz w:val="20"/>
          <w:szCs w:val="20"/>
        </w:rPr>
      </w:pPr>
      <w:r w:rsidRPr="000B3DEE">
        <w:rPr>
          <w:b/>
          <w:bCs/>
          <w:sz w:val="20"/>
          <w:szCs w:val="20"/>
        </w:rPr>
        <w:t>Results</w:t>
      </w:r>
    </w:p>
    <w:p w14:paraId="52090637" w14:textId="77777777" w:rsidR="00DA63D4" w:rsidRPr="00DA63D4" w:rsidRDefault="00DA63D4" w:rsidP="00DA63D4">
      <w:pPr>
        <w:spacing w:before="0" w:line="240" w:lineRule="auto"/>
        <w:ind w:firstLine="720"/>
        <w:rPr>
          <w:rFonts w:asciiTheme="majorHAnsi" w:eastAsia="Cambria" w:hAnsiTheme="majorHAnsi" w:cs="Cambria"/>
          <w:iCs/>
          <w:sz w:val="20"/>
          <w:szCs w:val="20"/>
        </w:rPr>
      </w:pPr>
      <w:r w:rsidRPr="00DA63D4">
        <w:rPr>
          <w:rFonts w:asciiTheme="majorHAnsi" w:eastAsia="Cambria" w:hAnsiTheme="majorHAnsi" w:cs="Cambria"/>
          <w:iCs/>
          <w:sz w:val="20"/>
          <w:szCs w:val="20"/>
        </w:rPr>
        <w:t>This research seeks to convey thoroughly how the application of sorogan-based learning in stimulating the ability of early counting, assisted by a graded student worksheet (LKS) in the form of practice problems with 3 different working models that are arranged based on basic competencies and indicators of understanding counting, including (1) number spelling, (2) identify the order of numbers, (3) determine the result of adding numbers, (4) mention at least three decompositions of a number, and (5) provide illustrative examples of the use of arithmetic operations in everyday life. Students' numeracy skills can be known from the test results of practice questions. Then, the extent to which students understand the concept of counting or basic arithmetic can be seen from the completeness of the indicators of understanding counting itself.</w:t>
      </w:r>
    </w:p>
    <w:p w14:paraId="189BF559" w14:textId="68E34B98" w:rsidR="006C47CE" w:rsidRPr="00DA63D4" w:rsidRDefault="00DA63D4" w:rsidP="00DA63D4">
      <w:pPr>
        <w:spacing w:before="0" w:line="240" w:lineRule="auto"/>
        <w:ind w:firstLine="720"/>
        <w:rPr>
          <w:rFonts w:asciiTheme="majorHAnsi" w:eastAsia="Cambria" w:hAnsiTheme="majorHAnsi" w:cs="Cambria"/>
          <w:iCs/>
          <w:sz w:val="20"/>
          <w:szCs w:val="20"/>
        </w:rPr>
      </w:pPr>
      <w:r w:rsidRPr="00DA63D4">
        <w:rPr>
          <w:rFonts w:asciiTheme="majorHAnsi" w:eastAsia="Cambria" w:hAnsiTheme="majorHAnsi" w:cs="Cambria"/>
          <w:iCs/>
          <w:sz w:val="20"/>
          <w:szCs w:val="20"/>
        </w:rPr>
        <w:t xml:space="preserve">The learning model applied is by using the sorogan method which is arranged in five main steps, namely (1) delivery of apperception or introduction to the material by the teacher; (2) working on practice problems (LKS) given by the teacher; (3) correcting and testing students' understanding carried out by the teacher in sorogan; (4) LKS is returned to students for improvement until students' understanding in counting at that level is completed, repeating step two and step three with the next level of LKS; and (5) reflection at the end of the learning activity. Based on the results of the research with the application of the sorogan method with the help of graded worksheets in learning beginning counting for students in Calistung </w:t>
      </w:r>
      <w:r w:rsidRPr="00DA63D4">
        <w:rPr>
          <w:rFonts w:asciiTheme="majorHAnsi" w:eastAsia="Cambria" w:hAnsiTheme="majorHAnsi" w:cs="Cambria"/>
          <w:iCs/>
          <w:sz w:val="20"/>
          <w:szCs w:val="20"/>
        </w:rPr>
        <w:lastRenderedPageBreak/>
        <w:t>B class of Learning Centre Permai, presented in Table 2. then it can be explained that the understanding of beginning counting in each indicator, on average, has increased by 37% in the final results of cycle II.</w:t>
      </w:r>
      <w:r w:rsidR="00AD402B" w:rsidRPr="00DA63D4">
        <w:rPr>
          <w:rFonts w:asciiTheme="majorHAnsi" w:eastAsia="Cambria" w:hAnsiTheme="majorHAnsi" w:cs="Cambria"/>
          <w:iCs/>
          <w:sz w:val="20"/>
          <w:szCs w:val="20"/>
        </w:rPr>
        <w:t xml:space="preserve"> </w:t>
      </w:r>
    </w:p>
    <w:p w14:paraId="5A793B23" w14:textId="11E918D9" w:rsidR="00206556" w:rsidRDefault="00206556" w:rsidP="00206556">
      <w:pPr>
        <w:spacing w:before="0" w:line="240" w:lineRule="auto"/>
        <w:rPr>
          <w:rFonts w:ascii="Cambria" w:eastAsia="Cambria" w:hAnsi="Cambria" w:cs="Cambria"/>
          <w:bCs/>
          <w:color w:val="000000"/>
          <w:sz w:val="20"/>
          <w:szCs w:val="20"/>
        </w:rPr>
      </w:pPr>
    </w:p>
    <w:p w14:paraId="0413B07A" w14:textId="334EA15E" w:rsidR="00D95023" w:rsidRPr="0082592C" w:rsidRDefault="00D95023" w:rsidP="0082592C">
      <w:pPr>
        <w:pStyle w:val="Caption"/>
        <w:keepNext/>
        <w:spacing w:after="0"/>
        <w:rPr>
          <w:rFonts w:ascii="Times New Roman" w:eastAsia="Times New Roman" w:hAnsi="Times New Roman"/>
          <w:color w:val="0070C0"/>
          <w:sz w:val="20"/>
          <w:szCs w:val="20"/>
          <w:lang w:val="en-AU" w:eastAsia="tr-TR"/>
        </w:rPr>
      </w:pPr>
      <w:r w:rsidRPr="0082592C">
        <w:rPr>
          <w:rFonts w:ascii="Times New Roman" w:eastAsia="Times New Roman" w:hAnsi="Times New Roman"/>
          <w:color w:val="0070C0"/>
          <w:sz w:val="20"/>
          <w:szCs w:val="20"/>
          <w:lang w:val="en-AU" w:eastAsia="tr-TR"/>
        </w:rPr>
        <w:t xml:space="preserve">Table </w:t>
      </w:r>
      <w:r w:rsidRPr="0082592C">
        <w:rPr>
          <w:rFonts w:ascii="Times New Roman" w:eastAsia="Times New Roman" w:hAnsi="Times New Roman"/>
          <w:color w:val="0070C0"/>
          <w:sz w:val="20"/>
          <w:szCs w:val="20"/>
          <w:lang w:val="en-AU" w:eastAsia="tr-TR"/>
        </w:rPr>
        <w:fldChar w:fldCharType="begin"/>
      </w:r>
      <w:r w:rsidRPr="0082592C">
        <w:rPr>
          <w:rFonts w:ascii="Times New Roman" w:eastAsia="Times New Roman" w:hAnsi="Times New Roman"/>
          <w:color w:val="0070C0"/>
          <w:sz w:val="20"/>
          <w:szCs w:val="20"/>
          <w:lang w:val="en-AU" w:eastAsia="tr-TR"/>
        </w:rPr>
        <w:instrText xml:space="preserve"> SEQ Table \* ARABIC </w:instrText>
      </w:r>
      <w:r w:rsidRPr="0082592C">
        <w:rPr>
          <w:rFonts w:ascii="Times New Roman" w:eastAsia="Times New Roman" w:hAnsi="Times New Roman"/>
          <w:color w:val="0070C0"/>
          <w:sz w:val="20"/>
          <w:szCs w:val="20"/>
          <w:lang w:val="en-AU" w:eastAsia="tr-TR"/>
        </w:rPr>
        <w:fldChar w:fldCharType="separate"/>
      </w:r>
      <w:r w:rsidR="005966DD">
        <w:rPr>
          <w:rFonts w:ascii="Times New Roman" w:eastAsia="Times New Roman" w:hAnsi="Times New Roman"/>
          <w:noProof/>
          <w:color w:val="0070C0"/>
          <w:sz w:val="20"/>
          <w:szCs w:val="20"/>
          <w:lang w:val="en-AU" w:eastAsia="tr-TR"/>
        </w:rPr>
        <w:t>2</w:t>
      </w:r>
      <w:r w:rsidRPr="0082592C">
        <w:rPr>
          <w:rFonts w:ascii="Times New Roman" w:eastAsia="Times New Roman" w:hAnsi="Times New Roman"/>
          <w:color w:val="0070C0"/>
          <w:sz w:val="20"/>
          <w:szCs w:val="20"/>
          <w:lang w:val="en-AU" w:eastAsia="tr-TR"/>
        </w:rPr>
        <w:fldChar w:fldCharType="end"/>
      </w:r>
      <w:r w:rsidRPr="0082592C">
        <w:rPr>
          <w:rFonts w:ascii="Times New Roman" w:eastAsia="Times New Roman" w:hAnsi="Times New Roman"/>
          <w:color w:val="0070C0"/>
          <w:sz w:val="20"/>
          <w:szCs w:val="20"/>
          <w:lang w:val="en-AU" w:eastAsia="tr-TR"/>
        </w:rPr>
        <w:t xml:space="preserve">. </w:t>
      </w:r>
      <w:r w:rsidRPr="0082592C">
        <w:rPr>
          <w:rFonts w:ascii="Times New Roman" w:eastAsia="Times New Roman" w:hAnsi="Times New Roman"/>
          <w:b w:val="0"/>
          <w:bCs w:val="0"/>
          <w:color w:val="0070C0"/>
          <w:sz w:val="20"/>
          <w:szCs w:val="20"/>
          <w:lang w:val="en-AU" w:eastAsia="tr-TR"/>
        </w:rPr>
        <w:t>Achievement in understanding of early counting</w:t>
      </w:r>
    </w:p>
    <w:tbl>
      <w:tblPr>
        <w:tblStyle w:val="TableGrid"/>
        <w:tblW w:w="9070" w:type="dxa"/>
        <w:tblLayout w:type="fixed"/>
        <w:tblLook w:val="04A0" w:firstRow="1" w:lastRow="0" w:firstColumn="1" w:lastColumn="0" w:noHBand="0" w:noVBand="1"/>
      </w:tblPr>
      <w:tblGrid>
        <w:gridCol w:w="3261"/>
        <w:gridCol w:w="2268"/>
        <w:gridCol w:w="1842"/>
        <w:gridCol w:w="1699"/>
      </w:tblGrid>
      <w:tr w:rsidR="004A1FCF" w:rsidRPr="000B3DEE" w14:paraId="7FA5D073" w14:textId="77777777" w:rsidTr="00B439C0">
        <w:tc>
          <w:tcPr>
            <w:tcW w:w="3261" w:type="dxa"/>
            <w:tcBorders>
              <w:left w:val="nil"/>
              <w:bottom w:val="single" w:sz="4" w:space="0" w:color="000000"/>
              <w:right w:val="nil"/>
            </w:tcBorders>
          </w:tcPr>
          <w:p w14:paraId="19FB3FA3" w14:textId="77777777" w:rsidR="004A1FCF" w:rsidRPr="000B3DEE" w:rsidRDefault="004A1FCF" w:rsidP="00B439C0">
            <w:pPr>
              <w:spacing w:before="0" w:line="240" w:lineRule="auto"/>
              <w:jc w:val="center"/>
              <w:rPr>
                <w:rFonts w:ascii="Times New Roman" w:eastAsia="Cambria" w:hAnsi="Times New Roman" w:cs="Times New Roman"/>
                <w:b/>
                <w:color w:val="000000"/>
                <w:sz w:val="20"/>
                <w:szCs w:val="20"/>
              </w:rPr>
            </w:pPr>
            <w:r w:rsidRPr="000B3DEE">
              <w:rPr>
                <w:rFonts w:ascii="Times New Roman" w:eastAsia="Cambria" w:hAnsi="Times New Roman" w:cs="Times New Roman"/>
                <w:b/>
                <w:color w:val="000000"/>
                <w:sz w:val="20"/>
                <w:szCs w:val="20"/>
              </w:rPr>
              <w:t>Indicator</w:t>
            </w:r>
          </w:p>
        </w:tc>
        <w:tc>
          <w:tcPr>
            <w:tcW w:w="2268" w:type="dxa"/>
            <w:tcBorders>
              <w:left w:val="nil"/>
              <w:bottom w:val="single" w:sz="4" w:space="0" w:color="000000"/>
              <w:right w:val="nil"/>
            </w:tcBorders>
            <w:vAlign w:val="center"/>
          </w:tcPr>
          <w:p w14:paraId="56C51945" w14:textId="783D495A" w:rsidR="004A1FCF" w:rsidRPr="000B3DEE" w:rsidRDefault="00327F1B" w:rsidP="00B439C0">
            <w:pPr>
              <w:spacing w:before="0" w:line="240" w:lineRule="auto"/>
              <w:jc w:val="center"/>
              <w:rPr>
                <w:rFonts w:ascii="Times New Roman" w:eastAsia="Cambria" w:hAnsi="Times New Roman" w:cs="Times New Roman"/>
                <w:b/>
                <w:color w:val="000000"/>
                <w:sz w:val="20"/>
                <w:szCs w:val="20"/>
              </w:rPr>
            </w:pPr>
            <w:r>
              <w:rPr>
                <w:rFonts w:ascii="Times New Roman" w:eastAsia="Cambria" w:hAnsi="Times New Roman" w:cs="Times New Roman"/>
                <w:b/>
                <w:color w:val="000000"/>
                <w:sz w:val="20"/>
                <w:szCs w:val="20"/>
                <w:lang w:val="en-US"/>
              </w:rPr>
              <w:t>Cycle</w:t>
            </w:r>
            <w:r w:rsidR="004A1FCF" w:rsidRPr="000B3DEE">
              <w:rPr>
                <w:rFonts w:ascii="Times New Roman" w:eastAsia="Cambria" w:hAnsi="Times New Roman" w:cs="Times New Roman"/>
                <w:b/>
                <w:color w:val="000000"/>
                <w:sz w:val="20"/>
                <w:szCs w:val="20"/>
              </w:rPr>
              <w:t xml:space="preserve"> I</w:t>
            </w:r>
          </w:p>
        </w:tc>
        <w:tc>
          <w:tcPr>
            <w:tcW w:w="1842" w:type="dxa"/>
            <w:tcBorders>
              <w:left w:val="nil"/>
              <w:bottom w:val="single" w:sz="4" w:space="0" w:color="000000"/>
              <w:right w:val="nil"/>
            </w:tcBorders>
            <w:vAlign w:val="center"/>
          </w:tcPr>
          <w:p w14:paraId="626749BA" w14:textId="48E93E7D" w:rsidR="004A1FCF" w:rsidRPr="000B3DEE" w:rsidRDefault="00327F1B" w:rsidP="00B439C0">
            <w:pPr>
              <w:spacing w:before="0" w:line="240" w:lineRule="auto"/>
              <w:jc w:val="center"/>
              <w:rPr>
                <w:rFonts w:ascii="Times New Roman" w:eastAsia="Cambria" w:hAnsi="Times New Roman" w:cs="Times New Roman"/>
                <w:b/>
                <w:color w:val="000000"/>
                <w:sz w:val="20"/>
                <w:szCs w:val="20"/>
              </w:rPr>
            </w:pPr>
            <w:r>
              <w:rPr>
                <w:rFonts w:ascii="Times New Roman" w:eastAsia="Cambria" w:hAnsi="Times New Roman" w:cs="Times New Roman"/>
                <w:b/>
                <w:color w:val="000000"/>
                <w:sz w:val="20"/>
                <w:szCs w:val="20"/>
                <w:lang w:val="en-US"/>
              </w:rPr>
              <w:t>Cycle</w:t>
            </w:r>
            <w:r w:rsidR="004A1FCF" w:rsidRPr="000B3DEE">
              <w:rPr>
                <w:rFonts w:ascii="Times New Roman" w:eastAsia="Cambria" w:hAnsi="Times New Roman" w:cs="Times New Roman"/>
                <w:b/>
                <w:color w:val="000000"/>
                <w:sz w:val="20"/>
                <w:szCs w:val="20"/>
              </w:rPr>
              <w:t xml:space="preserve"> II</w:t>
            </w:r>
          </w:p>
        </w:tc>
        <w:tc>
          <w:tcPr>
            <w:tcW w:w="1699" w:type="dxa"/>
            <w:tcBorders>
              <w:left w:val="nil"/>
              <w:bottom w:val="single" w:sz="4" w:space="0" w:color="000000"/>
              <w:right w:val="nil"/>
            </w:tcBorders>
            <w:vAlign w:val="center"/>
          </w:tcPr>
          <w:p w14:paraId="2F84405C" w14:textId="2160305A" w:rsidR="004A1FCF" w:rsidRPr="004A1FCF" w:rsidRDefault="00327F1B" w:rsidP="00B439C0">
            <w:pPr>
              <w:spacing w:before="0" w:line="240" w:lineRule="auto"/>
              <w:jc w:val="center"/>
              <w:rPr>
                <w:rFonts w:ascii="Times New Roman" w:eastAsia="Cambria" w:hAnsi="Times New Roman" w:cs="Times New Roman"/>
                <w:b/>
                <w:color w:val="000000"/>
                <w:sz w:val="20"/>
                <w:szCs w:val="20"/>
                <w:lang w:val="en-US"/>
              </w:rPr>
            </w:pPr>
            <w:r>
              <w:rPr>
                <w:rFonts w:ascii="Times New Roman" w:eastAsia="Cambria" w:hAnsi="Times New Roman" w:cs="Times New Roman"/>
                <w:b/>
                <w:color w:val="000000"/>
                <w:sz w:val="20"/>
                <w:szCs w:val="20"/>
                <w:lang w:val="en-US"/>
              </w:rPr>
              <w:t>Improvement</w:t>
            </w:r>
          </w:p>
        </w:tc>
      </w:tr>
      <w:tr w:rsidR="00DA63D4" w:rsidRPr="000B3DEE" w14:paraId="5E6744B7" w14:textId="77777777" w:rsidTr="00B439C0">
        <w:tc>
          <w:tcPr>
            <w:tcW w:w="3261" w:type="dxa"/>
            <w:tcBorders>
              <w:left w:val="nil"/>
              <w:bottom w:val="nil"/>
              <w:right w:val="nil"/>
            </w:tcBorders>
          </w:tcPr>
          <w:p w14:paraId="173AD37A" w14:textId="6C6E5AAF" w:rsidR="00DA63D4" w:rsidRPr="000B3DEE" w:rsidRDefault="00DA63D4" w:rsidP="00DA63D4">
            <w:pPr>
              <w:spacing w:before="0" w:line="240" w:lineRule="auto"/>
              <w:rPr>
                <w:rFonts w:ascii="Times New Roman" w:eastAsia="Cambria" w:hAnsi="Times New Roman" w:cs="Times New Roman"/>
                <w:bCs/>
                <w:color w:val="000000"/>
                <w:sz w:val="20"/>
                <w:szCs w:val="20"/>
              </w:rPr>
            </w:pPr>
            <w:r>
              <w:rPr>
                <w:rFonts w:ascii="Times New Roman" w:eastAsia="Cambria" w:hAnsi="Times New Roman" w:cs="Times New Roman"/>
                <w:iCs/>
                <w:sz w:val="20"/>
                <w:szCs w:val="20"/>
                <w:lang w:val="en-US"/>
              </w:rPr>
              <w:t>Spelling numbers</w:t>
            </w:r>
          </w:p>
        </w:tc>
        <w:tc>
          <w:tcPr>
            <w:tcW w:w="2268" w:type="dxa"/>
            <w:tcBorders>
              <w:left w:val="nil"/>
              <w:bottom w:val="nil"/>
              <w:right w:val="nil"/>
            </w:tcBorders>
            <w:vAlign w:val="center"/>
          </w:tcPr>
          <w:p w14:paraId="46CFA0FF" w14:textId="77777777" w:rsidR="00DA63D4" w:rsidRPr="000B3DEE" w:rsidRDefault="00DA63D4" w:rsidP="00DA63D4">
            <w:pPr>
              <w:spacing w:before="0" w:line="240" w:lineRule="auto"/>
              <w:jc w:val="center"/>
              <w:rPr>
                <w:rFonts w:ascii="Times New Roman" w:eastAsia="Cambria" w:hAnsi="Times New Roman" w:cs="Times New Roman"/>
                <w:bCs/>
                <w:color w:val="000000"/>
                <w:sz w:val="20"/>
                <w:szCs w:val="20"/>
              </w:rPr>
            </w:pPr>
            <w:r w:rsidRPr="000B3DEE">
              <w:rPr>
                <w:rFonts w:ascii="Times New Roman" w:eastAsia="Cambria" w:hAnsi="Times New Roman" w:cs="Times New Roman"/>
                <w:bCs/>
                <w:color w:val="000000"/>
                <w:sz w:val="20"/>
                <w:szCs w:val="20"/>
              </w:rPr>
              <w:t>60%</w:t>
            </w:r>
          </w:p>
        </w:tc>
        <w:tc>
          <w:tcPr>
            <w:tcW w:w="1842" w:type="dxa"/>
            <w:tcBorders>
              <w:left w:val="nil"/>
              <w:bottom w:val="nil"/>
              <w:right w:val="nil"/>
            </w:tcBorders>
            <w:vAlign w:val="center"/>
          </w:tcPr>
          <w:p w14:paraId="266040E3" w14:textId="2F1A80FF" w:rsidR="00DA63D4" w:rsidRPr="000B3DEE" w:rsidRDefault="00DA63D4" w:rsidP="00DA63D4">
            <w:pPr>
              <w:spacing w:before="0" w:line="240" w:lineRule="auto"/>
              <w:jc w:val="center"/>
              <w:rPr>
                <w:rFonts w:ascii="Times New Roman" w:eastAsia="Cambria" w:hAnsi="Times New Roman" w:cs="Times New Roman"/>
                <w:bCs/>
                <w:color w:val="000000"/>
                <w:sz w:val="20"/>
                <w:szCs w:val="20"/>
              </w:rPr>
            </w:pPr>
            <w:r w:rsidRPr="000B3DEE">
              <w:rPr>
                <w:rFonts w:ascii="Times New Roman" w:eastAsia="Cambria" w:hAnsi="Times New Roman" w:cs="Times New Roman"/>
                <w:bCs/>
                <w:color w:val="000000"/>
                <w:sz w:val="20"/>
                <w:szCs w:val="20"/>
              </w:rPr>
              <w:t>94%</w:t>
            </w:r>
          </w:p>
        </w:tc>
        <w:tc>
          <w:tcPr>
            <w:tcW w:w="1699" w:type="dxa"/>
            <w:tcBorders>
              <w:left w:val="nil"/>
              <w:bottom w:val="nil"/>
              <w:right w:val="nil"/>
            </w:tcBorders>
            <w:vAlign w:val="center"/>
          </w:tcPr>
          <w:p w14:paraId="55A60DAB" w14:textId="475B8F7F" w:rsidR="00DA63D4" w:rsidRPr="004A1FCF" w:rsidRDefault="00DA63D4" w:rsidP="00DA63D4">
            <w:pPr>
              <w:spacing w:before="0" w:line="240" w:lineRule="auto"/>
              <w:jc w:val="center"/>
              <w:rPr>
                <w:rFonts w:ascii="Times New Roman" w:eastAsia="Cambria" w:hAnsi="Times New Roman" w:cs="Times New Roman"/>
                <w:bCs/>
                <w:color w:val="000000"/>
                <w:sz w:val="20"/>
                <w:szCs w:val="20"/>
                <w:lang w:val="en-US"/>
              </w:rPr>
            </w:pPr>
            <w:r>
              <w:rPr>
                <w:rFonts w:ascii="Times New Roman" w:eastAsia="Cambria" w:hAnsi="Times New Roman" w:cs="Times New Roman"/>
                <w:bCs/>
                <w:color w:val="000000"/>
                <w:sz w:val="20"/>
                <w:szCs w:val="20"/>
                <w:lang w:val="en-US"/>
              </w:rPr>
              <w:t>3</w:t>
            </w:r>
            <w:r w:rsidRPr="000B3DEE">
              <w:rPr>
                <w:rFonts w:ascii="Times New Roman" w:eastAsia="Cambria" w:hAnsi="Times New Roman" w:cs="Times New Roman"/>
                <w:bCs/>
                <w:color w:val="000000"/>
                <w:sz w:val="20"/>
                <w:szCs w:val="20"/>
              </w:rPr>
              <w:t>4%</w:t>
            </w:r>
          </w:p>
        </w:tc>
      </w:tr>
      <w:tr w:rsidR="00DA63D4" w:rsidRPr="000B3DEE" w14:paraId="2C32BB93" w14:textId="77777777" w:rsidTr="00B439C0">
        <w:tc>
          <w:tcPr>
            <w:tcW w:w="3261" w:type="dxa"/>
            <w:tcBorders>
              <w:top w:val="nil"/>
              <w:left w:val="nil"/>
              <w:bottom w:val="nil"/>
              <w:right w:val="nil"/>
            </w:tcBorders>
          </w:tcPr>
          <w:p w14:paraId="3AC41A64" w14:textId="0AE02FAA" w:rsidR="00DA63D4" w:rsidRPr="000B3DEE" w:rsidRDefault="00DA63D4" w:rsidP="00DA63D4">
            <w:pPr>
              <w:spacing w:before="0" w:line="240" w:lineRule="auto"/>
              <w:rPr>
                <w:rFonts w:ascii="Times New Roman" w:eastAsia="Cambria" w:hAnsi="Times New Roman" w:cs="Times New Roman"/>
                <w:bCs/>
                <w:color w:val="000000"/>
                <w:sz w:val="20"/>
                <w:szCs w:val="20"/>
              </w:rPr>
            </w:pPr>
            <w:r>
              <w:rPr>
                <w:rFonts w:ascii="Times New Roman" w:eastAsia="Cambria" w:hAnsi="Times New Roman" w:cs="Times New Roman"/>
                <w:iCs/>
                <w:sz w:val="20"/>
                <w:szCs w:val="20"/>
                <w:lang w:val="en-US"/>
              </w:rPr>
              <w:t>I</w:t>
            </w:r>
            <w:r w:rsidRPr="000C2425">
              <w:rPr>
                <w:rFonts w:ascii="Times New Roman" w:eastAsia="Cambria" w:hAnsi="Times New Roman" w:cs="Times New Roman"/>
                <w:iCs/>
                <w:sz w:val="20"/>
                <w:szCs w:val="20"/>
                <w:lang w:val="en-US"/>
              </w:rPr>
              <w:t>dentify the sequence of numbers</w:t>
            </w:r>
          </w:p>
        </w:tc>
        <w:tc>
          <w:tcPr>
            <w:tcW w:w="2268" w:type="dxa"/>
            <w:tcBorders>
              <w:top w:val="nil"/>
              <w:left w:val="nil"/>
              <w:bottom w:val="nil"/>
              <w:right w:val="nil"/>
            </w:tcBorders>
            <w:vAlign w:val="center"/>
          </w:tcPr>
          <w:p w14:paraId="1035361D" w14:textId="77777777" w:rsidR="00DA63D4" w:rsidRPr="000B3DEE" w:rsidRDefault="00DA63D4" w:rsidP="00DA63D4">
            <w:pPr>
              <w:spacing w:before="0" w:line="240" w:lineRule="auto"/>
              <w:jc w:val="center"/>
              <w:rPr>
                <w:rFonts w:ascii="Times New Roman" w:eastAsia="Cambria" w:hAnsi="Times New Roman" w:cs="Times New Roman"/>
                <w:bCs/>
                <w:color w:val="000000"/>
                <w:sz w:val="20"/>
                <w:szCs w:val="20"/>
              </w:rPr>
            </w:pPr>
            <w:r w:rsidRPr="000B3DEE">
              <w:rPr>
                <w:rFonts w:ascii="Times New Roman" w:eastAsia="Cambria" w:hAnsi="Times New Roman" w:cs="Times New Roman"/>
                <w:bCs/>
                <w:color w:val="000000"/>
                <w:sz w:val="20"/>
                <w:szCs w:val="20"/>
              </w:rPr>
              <w:t>60%</w:t>
            </w:r>
          </w:p>
        </w:tc>
        <w:tc>
          <w:tcPr>
            <w:tcW w:w="1842" w:type="dxa"/>
            <w:tcBorders>
              <w:top w:val="nil"/>
              <w:left w:val="nil"/>
              <w:bottom w:val="nil"/>
              <w:right w:val="nil"/>
            </w:tcBorders>
            <w:vAlign w:val="center"/>
          </w:tcPr>
          <w:p w14:paraId="6469AA75" w14:textId="1D7FC850" w:rsidR="00DA63D4" w:rsidRPr="000B3DEE" w:rsidRDefault="00DA63D4" w:rsidP="00DA63D4">
            <w:pPr>
              <w:spacing w:before="0" w:line="240" w:lineRule="auto"/>
              <w:jc w:val="center"/>
              <w:rPr>
                <w:rFonts w:ascii="Times New Roman" w:eastAsia="Cambria" w:hAnsi="Times New Roman" w:cs="Times New Roman"/>
                <w:bCs/>
                <w:color w:val="000000"/>
                <w:sz w:val="20"/>
                <w:szCs w:val="20"/>
              </w:rPr>
            </w:pPr>
            <w:r w:rsidRPr="000B3DEE">
              <w:rPr>
                <w:rFonts w:ascii="Times New Roman" w:eastAsia="Cambria" w:hAnsi="Times New Roman" w:cs="Times New Roman"/>
                <w:bCs/>
                <w:color w:val="000000"/>
                <w:sz w:val="20"/>
                <w:szCs w:val="20"/>
              </w:rPr>
              <w:t>88%</w:t>
            </w:r>
          </w:p>
        </w:tc>
        <w:tc>
          <w:tcPr>
            <w:tcW w:w="1699" w:type="dxa"/>
            <w:tcBorders>
              <w:top w:val="nil"/>
              <w:left w:val="nil"/>
              <w:bottom w:val="nil"/>
              <w:right w:val="nil"/>
            </w:tcBorders>
            <w:vAlign w:val="center"/>
          </w:tcPr>
          <w:p w14:paraId="44BD45FC" w14:textId="4C483C6E" w:rsidR="00DA63D4" w:rsidRPr="000B3DEE" w:rsidRDefault="00DA63D4" w:rsidP="00DA63D4">
            <w:pPr>
              <w:spacing w:before="0" w:line="240" w:lineRule="auto"/>
              <w:jc w:val="center"/>
              <w:rPr>
                <w:rFonts w:ascii="Times New Roman" w:eastAsia="Cambria" w:hAnsi="Times New Roman" w:cs="Times New Roman"/>
                <w:bCs/>
                <w:color w:val="000000"/>
                <w:sz w:val="20"/>
                <w:szCs w:val="20"/>
              </w:rPr>
            </w:pPr>
            <w:r>
              <w:rPr>
                <w:rFonts w:ascii="Times New Roman" w:eastAsia="Cambria" w:hAnsi="Times New Roman" w:cs="Times New Roman"/>
                <w:bCs/>
                <w:color w:val="000000"/>
                <w:sz w:val="20"/>
                <w:szCs w:val="20"/>
                <w:lang w:val="en-US"/>
              </w:rPr>
              <w:t>2</w:t>
            </w:r>
            <w:r w:rsidRPr="000B3DEE">
              <w:rPr>
                <w:rFonts w:ascii="Times New Roman" w:eastAsia="Cambria" w:hAnsi="Times New Roman" w:cs="Times New Roman"/>
                <w:bCs/>
                <w:color w:val="000000"/>
                <w:sz w:val="20"/>
                <w:szCs w:val="20"/>
              </w:rPr>
              <w:t>8%</w:t>
            </w:r>
          </w:p>
        </w:tc>
      </w:tr>
      <w:tr w:rsidR="00DA63D4" w:rsidRPr="000B3DEE" w14:paraId="70F01A43" w14:textId="77777777" w:rsidTr="00B439C0">
        <w:tc>
          <w:tcPr>
            <w:tcW w:w="3261" w:type="dxa"/>
            <w:tcBorders>
              <w:top w:val="nil"/>
              <w:left w:val="nil"/>
              <w:bottom w:val="nil"/>
              <w:right w:val="nil"/>
            </w:tcBorders>
          </w:tcPr>
          <w:p w14:paraId="3152C6E0" w14:textId="3F09BE9A" w:rsidR="00DA63D4" w:rsidRPr="000B3DEE" w:rsidRDefault="00DA63D4" w:rsidP="00DA63D4">
            <w:pPr>
              <w:spacing w:before="0" w:line="240" w:lineRule="auto"/>
              <w:rPr>
                <w:rFonts w:ascii="Times New Roman" w:eastAsia="Cambria" w:hAnsi="Times New Roman" w:cs="Times New Roman"/>
                <w:bCs/>
                <w:color w:val="000000"/>
                <w:sz w:val="20"/>
                <w:szCs w:val="20"/>
              </w:rPr>
            </w:pPr>
            <w:r>
              <w:rPr>
                <w:rFonts w:ascii="Times New Roman" w:eastAsia="Cambria" w:hAnsi="Times New Roman" w:cs="Times New Roman"/>
                <w:iCs/>
                <w:sz w:val="20"/>
                <w:szCs w:val="20"/>
                <w:lang w:val="en-US"/>
              </w:rPr>
              <w:t>Addition of numbers</w:t>
            </w:r>
          </w:p>
        </w:tc>
        <w:tc>
          <w:tcPr>
            <w:tcW w:w="2268" w:type="dxa"/>
            <w:tcBorders>
              <w:top w:val="nil"/>
              <w:left w:val="nil"/>
              <w:bottom w:val="nil"/>
              <w:right w:val="nil"/>
            </w:tcBorders>
            <w:vAlign w:val="center"/>
          </w:tcPr>
          <w:p w14:paraId="4FA45C5C" w14:textId="77777777" w:rsidR="00DA63D4" w:rsidRPr="000B3DEE" w:rsidRDefault="00DA63D4" w:rsidP="00DA63D4">
            <w:pPr>
              <w:spacing w:before="0" w:line="240" w:lineRule="auto"/>
              <w:jc w:val="center"/>
              <w:rPr>
                <w:rFonts w:ascii="Times New Roman" w:eastAsia="Cambria" w:hAnsi="Times New Roman" w:cs="Times New Roman"/>
                <w:bCs/>
                <w:color w:val="000000"/>
                <w:sz w:val="20"/>
                <w:szCs w:val="20"/>
              </w:rPr>
            </w:pPr>
            <w:r w:rsidRPr="000B3DEE">
              <w:rPr>
                <w:rFonts w:ascii="Times New Roman" w:eastAsia="Cambria" w:hAnsi="Times New Roman" w:cs="Times New Roman"/>
                <w:bCs/>
                <w:color w:val="000000"/>
                <w:sz w:val="20"/>
                <w:szCs w:val="20"/>
              </w:rPr>
              <w:t>60%</w:t>
            </w:r>
          </w:p>
        </w:tc>
        <w:tc>
          <w:tcPr>
            <w:tcW w:w="1842" w:type="dxa"/>
            <w:tcBorders>
              <w:top w:val="nil"/>
              <w:left w:val="nil"/>
              <w:bottom w:val="nil"/>
              <w:right w:val="nil"/>
            </w:tcBorders>
            <w:vAlign w:val="center"/>
          </w:tcPr>
          <w:p w14:paraId="6F781F38" w14:textId="589C709E" w:rsidR="00DA63D4" w:rsidRPr="000B3DEE" w:rsidRDefault="00DA63D4" w:rsidP="00DA63D4">
            <w:pPr>
              <w:spacing w:before="0" w:line="240" w:lineRule="auto"/>
              <w:jc w:val="center"/>
              <w:rPr>
                <w:rFonts w:ascii="Times New Roman" w:eastAsia="Cambria" w:hAnsi="Times New Roman" w:cs="Times New Roman"/>
                <w:bCs/>
                <w:color w:val="000000"/>
                <w:sz w:val="20"/>
                <w:szCs w:val="20"/>
              </w:rPr>
            </w:pPr>
            <w:r w:rsidRPr="000B3DEE">
              <w:rPr>
                <w:rFonts w:ascii="Times New Roman" w:eastAsia="Cambria" w:hAnsi="Times New Roman" w:cs="Times New Roman"/>
                <w:bCs/>
                <w:color w:val="000000"/>
                <w:sz w:val="20"/>
                <w:szCs w:val="20"/>
              </w:rPr>
              <w:t>94,6%</w:t>
            </w:r>
          </w:p>
        </w:tc>
        <w:tc>
          <w:tcPr>
            <w:tcW w:w="1699" w:type="dxa"/>
            <w:tcBorders>
              <w:top w:val="nil"/>
              <w:left w:val="nil"/>
              <w:bottom w:val="nil"/>
              <w:right w:val="nil"/>
            </w:tcBorders>
            <w:vAlign w:val="center"/>
          </w:tcPr>
          <w:p w14:paraId="6E529376" w14:textId="4A6C3E8D" w:rsidR="00DA63D4" w:rsidRPr="000B3DEE" w:rsidRDefault="00DA63D4" w:rsidP="00DA63D4">
            <w:pPr>
              <w:spacing w:before="0" w:line="240" w:lineRule="auto"/>
              <w:jc w:val="center"/>
              <w:rPr>
                <w:rFonts w:ascii="Times New Roman" w:eastAsia="Cambria" w:hAnsi="Times New Roman" w:cs="Times New Roman"/>
                <w:bCs/>
                <w:color w:val="000000"/>
                <w:sz w:val="20"/>
                <w:szCs w:val="20"/>
              </w:rPr>
            </w:pPr>
            <w:r>
              <w:rPr>
                <w:rFonts w:ascii="Times New Roman" w:eastAsia="Cambria" w:hAnsi="Times New Roman" w:cs="Times New Roman"/>
                <w:bCs/>
                <w:color w:val="000000"/>
                <w:sz w:val="20"/>
                <w:szCs w:val="20"/>
                <w:lang w:val="en-US"/>
              </w:rPr>
              <w:t>3</w:t>
            </w:r>
            <w:r w:rsidRPr="000B3DEE">
              <w:rPr>
                <w:rFonts w:ascii="Times New Roman" w:eastAsia="Cambria" w:hAnsi="Times New Roman" w:cs="Times New Roman"/>
                <w:bCs/>
                <w:color w:val="000000"/>
                <w:sz w:val="20"/>
                <w:szCs w:val="20"/>
              </w:rPr>
              <w:t>4,6%</w:t>
            </w:r>
          </w:p>
        </w:tc>
      </w:tr>
      <w:tr w:rsidR="00DA63D4" w:rsidRPr="000B3DEE" w14:paraId="2E5D6601" w14:textId="77777777" w:rsidTr="00B439C0">
        <w:tc>
          <w:tcPr>
            <w:tcW w:w="3261" w:type="dxa"/>
            <w:tcBorders>
              <w:top w:val="nil"/>
              <w:left w:val="nil"/>
              <w:bottom w:val="nil"/>
              <w:right w:val="nil"/>
            </w:tcBorders>
          </w:tcPr>
          <w:p w14:paraId="462C7B0B" w14:textId="3BC5B50D" w:rsidR="00DA63D4" w:rsidRPr="000B3DEE" w:rsidRDefault="00DA63D4" w:rsidP="00DA63D4">
            <w:pPr>
              <w:spacing w:before="0" w:line="240" w:lineRule="auto"/>
              <w:rPr>
                <w:rFonts w:ascii="Times New Roman" w:eastAsia="Cambria" w:hAnsi="Times New Roman" w:cs="Times New Roman"/>
                <w:bCs/>
                <w:color w:val="000000"/>
                <w:sz w:val="20"/>
                <w:szCs w:val="20"/>
              </w:rPr>
            </w:pPr>
            <w:r>
              <w:rPr>
                <w:rFonts w:ascii="Times New Roman" w:eastAsia="Cambria" w:hAnsi="Times New Roman" w:cs="Times New Roman"/>
                <w:iCs/>
                <w:sz w:val="20"/>
                <w:szCs w:val="20"/>
                <w:lang w:val="en-US"/>
              </w:rPr>
              <w:t>Decompotitions of a number</w:t>
            </w:r>
          </w:p>
        </w:tc>
        <w:tc>
          <w:tcPr>
            <w:tcW w:w="2268" w:type="dxa"/>
            <w:tcBorders>
              <w:top w:val="nil"/>
              <w:left w:val="nil"/>
              <w:bottom w:val="nil"/>
              <w:right w:val="nil"/>
            </w:tcBorders>
            <w:vAlign w:val="center"/>
          </w:tcPr>
          <w:p w14:paraId="337934D5" w14:textId="77777777" w:rsidR="00DA63D4" w:rsidRPr="000B3DEE" w:rsidRDefault="00DA63D4" w:rsidP="00DA63D4">
            <w:pPr>
              <w:spacing w:before="0" w:line="240" w:lineRule="auto"/>
              <w:jc w:val="center"/>
              <w:rPr>
                <w:rFonts w:ascii="Times New Roman" w:eastAsia="Cambria" w:hAnsi="Times New Roman" w:cs="Times New Roman"/>
                <w:bCs/>
                <w:color w:val="000000"/>
                <w:sz w:val="20"/>
                <w:szCs w:val="20"/>
              </w:rPr>
            </w:pPr>
            <w:r w:rsidRPr="000B3DEE">
              <w:rPr>
                <w:rFonts w:ascii="Times New Roman" w:eastAsia="Cambria" w:hAnsi="Times New Roman" w:cs="Times New Roman"/>
                <w:bCs/>
                <w:color w:val="000000"/>
                <w:sz w:val="20"/>
                <w:szCs w:val="20"/>
              </w:rPr>
              <w:t>50%</w:t>
            </w:r>
          </w:p>
        </w:tc>
        <w:tc>
          <w:tcPr>
            <w:tcW w:w="1842" w:type="dxa"/>
            <w:tcBorders>
              <w:top w:val="nil"/>
              <w:left w:val="nil"/>
              <w:bottom w:val="nil"/>
              <w:right w:val="nil"/>
            </w:tcBorders>
            <w:vAlign w:val="center"/>
          </w:tcPr>
          <w:p w14:paraId="4BEC8F11" w14:textId="076FB3BD" w:rsidR="00DA63D4" w:rsidRPr="000B3DEE" w:rsidRDefault="00DA63D4" w:rsidP="00DA63D4">
            <w:pPr>
              <w:spacing w:before="0" w:line="240" w:lineRule="auto"/>
              <w:jc w:val="center"/>
              <w:rPr>
                <w:rFonts w:ascii="Times New Roman" w:eastAsia="Cambria" w:hAnsi="Times New Roman" w:cs="Times New Roman"/>
                <w:bCs/>
                <w:color w:val="000000"/>
                <w:sz w:val="20"/>
                <w:szCs w:val="20"/>
              </w:rPr>
            </w:pPr>
            <w:r w:rsidRPr="000B3DEE">
              <w:rPr>
                <w:rFonts w:ascii="Times New Roman" w:eastAsia="Cambria" w:hAnsi="Times New Roman" w:cs="Times New Roman"/>
                <w:bCs/>
                <w:color w:val="000000"/>
                <w:sz w:val="20"/>
                <w:szCs w:val="20"/>
              </w:rPr>
              <w:t>93,2%</w:t>
            </w:r>
          </w:p>
        </w:tc>
        <w:tc>
          <w:tcPr>
            <w:tcW w:w="1699" w:type="dxa"/>
            <w:tcBorders>
              <w:top w:val="nil"/>
              <w:left w:val="nil"/>
              <w:bottom w:val="nil"/>
              <w:right w:val="nil"/>
            </w:tcBorders>
            <w:vAlign w:val="center"/>
          </w:tcPr>
          <w:p w14:paraId="4D396826" w14:textId="1EE757E8" w:rsidR="00DA63D4" w:rsidRPr="000B3DEE" w:rsidRDefault="00DA63D4" w:rsidP="00DA63D4">
            <w:pPr>
              <w:spacing w:before="0" w:line="240" w:lineRule="auto"/>
              <w:jc w:val="center"/>
              <w:rPr>
                <w:rFonts w:ascii="Times New Roman" w:eastAsia="Cambria" w:hAnsi="Times New Roman" w:cs="Times New Roman"/>
                <w:bCs/>
                <w:color w:val="000000"/>
                <w:sz w:val="20"/>
                <w:szCs w:val="20"/>
              </w:rPr>
            </w:pPr>
            <w:r>
              <w:rPr>
                <w:rFonts w:ascii="Times New Roman" w:eastAsia="Cambria" w:hAnsi="Times New Roman" w:cs="Times New Roman"/>
                <w:bCs/>
                <w:color w:val="000000"/>
                <w:sz w:val="20"/>
                <w:szCs w:val="20"/>
                <w:lang w:val="en-US"/>
              </w:rPr>
              <w:t>4</w:t>
            </w:r>
            <w:r w:rsidRPr="000B3DEE">
              <w:rPr>
                <w:rFonts w:ascii="Times New Roman" w:eastAsia="Cambria" w:hAnsi="Times New Roman" w:cs="Times New Roman"/>
                <w:bCs/>
                <w:color w:val="000000"/>
                <w:sz w:val="20"/>
                <w:szCs w:val="20"/>
              </w:rPr>
              <w:t>3,2%</w:t>
            </w:r>
          </w:p>
        </w:tc>
      </w:tr>
      <w:tr w:rsidR="00DA63D4" w:rsidRPr="000B3DEE" w14:paraId="5C3398D6" w14:textId="77777777" w:rsidTr="00B439C0">
        <w:tc>
          <w:tcPr>
            <w:tcW w:w="3261" w:type="dxa"/>
            <w:tcBorders>
              <w:top w:val="nil"/>
              <w:left w:val="nil"/>
              <w:bottom w:val="nil"/>
              <w:right w:val="nil"/>
            </w:tcBorders>
          </w:tcPr>
          <w:p w14:paraId="501EF2EE" w14:textId="0E0EC85F" w:rsidR="00DA63D4" w:rsidRPr="000B3DEE" w:rsidRDefault="00DA63D4" w:rsidP="00DA63D4">
            <w:pPr>
              <w:spacing w:before="0" w:line="240" w:lineRule="auto"/>
              <w:rPr>
                <w:rFonts w:ascii="Times New Roman" w:eastAsia="Cambria" w:hAnsi="Times New Roman" w:cs="Times New Roman"/>
                <w:bCs/>
                <w:color w:val="000000"/>
                <w:sz w:val="20"/>
                <w:szCs w:val="20"/>
              </w:rPr>
            </w:pPr>
            <w:r w:rsidRPr="00DF70BB">
              <w:rPr>
                <w:rFonts w:ascii="Times New Roman" w:eastAsia="Cambria" w:hAnsi="Times New Roman" w:cs="Times New Roman"/>
                <w:iCs/>
                <w:sz w:val="20"/>
                <w:szCs w:val="20"/>
              </w:rPr>
              <w:t>Implementing</w:t>
            </w:r>
          </w:p>
        </w:tc>
        <w:tc>
          <w:tcPr>
            <w:tcW w:w="2268" w:type="dxa"/>
            <w:tcBorders>
              <w:top w:val="nil"/>
              <w:left w:val="nil"/>
              <w:bottom w:val="nil"/>
              <w:right w:val="nil"/>
            </w:tcBorders>
            <w:vAlign w:val="center"/>
          </w:tcPr>
          <w:p w14:paraId="4E5A61A3" w14:textId="77777777" w:rsidR="00DA63D4" w:rsidRPr="000B3DEE" w:rsidRDefault="00DA63D4" w:rsidP="00DA63D4">
            <w:pPr>
              <w:spacing w:before="0" w:line="240" w:lineRule="auto"/>
              <w:jc w:val="center"/>
              <w:rPr>
                <w:rFonts w:ascii="Times New Roman" w:eastAsia="Cambria" w:hAnsi="Times New Roman" w:cs="Times New Roman"/>
                <w:bCs/>
                <w:color w:val="000000"/>
                <w:sz w:val="20"/>
                <w:szCs w:val="20"/>
              </w:rPr>
            </w:pPr>
            <w:r w:rsidRPr="000B3DEE">
              <w:rPr>
                <w:rFonts w:ascii="Times New Roman" w:eastAsia="Cambria" w:hAnsi="Times New Roman" w:cs="Times New Roman"/>
                <w:bCs/>
                <w:color w:val="000000"/>
                <w:sz w:val="20"/>
                <w:szCs w:val="20"/>
              </w:rPr>
              <w:t>43%</w:t>
            </w:r>
          </w:p>
        </w:tc>
        <w:tc>
          <w:tcPr>
            <w:tcW w:w="1842" w:type="dxa"/>
            <w:tcBorders>
              <w:top w:val="nil"/>
              <w:left w:val="nil"/>
              <w:bottom w:val="nil"/>
              <w:right w:val="nil"/>
            </w:tcBorders>
            <w:vAlign w:val="center"/>
          </w:tcPr>
          <w:p w14:paraId="7C60877F" w14:textId="69AC7569" w:rsidR="00DA63D4" w:rsidRPr="000B3DEE" w:rsidRDefault="00DA63D4" w:rsidP="00DA63D4">
            <w:pPr>
              <w:spacing w:before="0" w:line="240" w:lineRule="auto"/>
              <w:jc w:val="center"/>
              <w:rPr>
                <w:rFonts w:ascii="Times New Roman" w:eastAsia="Cambria" w:hAnsi="Times New Roman" w:cs="Times New Roman"/>
                <w:bCs/>
                <w:color w:val="000000"/>
                <w:sz w:val="20"/>
                <w:szCs w:val="20"/>
              </w:rPr>
            </w:pPr>
            <w:r w:rsidRPr="000B3DEE">
              <w:rPr>
                <w:rFonts w:ascii="Times New Roman" w:eastAsia="Cambria" w:hAnsi="Times New Roman" w:cs="Times New Roman"/>
                <w:bCs/>
                <w:color w:val="000000"/>
                <w:sz w:val="20"/>
                <w:szCs w:val="20"/>
              </w:rPr>
              <w:t>89,2%</w:t>
            </w:r>
          </w:p>
        </w:tc>
        <w:tc>
          <w:tcPr>
            <w:tcW w:w="1699" w:type="dxa"/>
            <w:tcBorders>
              <w:top w:val="nil"/>
              <w:left w:val="nil"/>
              <w:bottom w:val="nil"/>
              <w:right w:val="nil"/>
            </w:tcBorders>
            <w:vAlign w:val="center"/>
          </w:tcPr>
          <w:p w14:paraId="1E3B18D0" w14:textId="1DAD0950" w:rsidR="00DA63D4" w:rsidRPr="000B3DEE" w:rsidRDefault="00DA63D4" w:rsidP="00DA63D4">
            <w:pPr>
              <w:spacing w:before="0" w:line="240" w:lineRule="auto"/>
              <w:jc w:val="center"/>
              <w:rPr>
                <w:rFonts w:ascii="Times New Roman" w:eastAsia="Cambria" w:hAnsi="Times New Roman" w:cs="Times New Roman"/>
                <w:bCs/>
                <w:color w:val="000000"/>
                <w:sz w:val="20"/>
                <w:szCs w:val="20"/>
              </w:rPr>
            </w:pPr>
            <w:r>
              <w:rPr>
                <w:rFonts w:ascii="Times New Roman" w:eastAsia="Cambria" w:hAnsi="Times New Roman" w:cs="Times New Roman"/>
                <w:bCs/>
                <w:color w:val="000000"/>
                <w:sz w:val="20"/>
                <w:szCs w:val="20"/>
                <w:lang w:val="en-US"/>
              </w:rPr>
              <w:t>46</w:t>
            </w:r>
            <w:r w:rsidRPr="000B3DEE">
              <w:rPr>
                <w:rFonts w:ascii="Times New Roman" w:eastAsia="Cambria" w:hAnsi="Times New Roman" w:cs="Times New Roman"/>
                <w:bCs/>
                <w:color w:val="000000"/>
                <w:sz w:val="20"/>
                <w:szCs w:val="20"/>
              </w:rPr>
              <w:t>,2%</w:t>
            </w:r>
          </w:p>
        </w:tc>
      </w:tr>
      <w:tr w:rsidR="00DA63D4" w:rsidRPr="000B3DEE" w14:paraId="186C6705" w14:textId="77777777" w:rsidTr="00B439C0">
        <w:tc>
          <w:tcPr>
            <w:tcW w:w="3261" w:type="dxa"/>
            <w:tcBorders>
              <w:top w:val="nil"/>
              <w:left w:val="nil"/>
              <w:right w:val="nil"/>
            </w:tcBorders>
          </w:tcPr>
          <w:p w14:paraId="427B2933" w14:textId="20CF3E88" w:rsidR="00DA63D4" w:rsidRPr="000B3DEE" w:rsidRDefault="00DA63D4" w:rsidP="00DA63D4">
            <w:pPr>
              <w:spacing w:before="0" w:line="240" w:lineRule="auto"/>
              <w:jc w:val="center"/>
              <w:rPr>
                <w:rFonts w:ascii="Times New Roman" w:eastAsia="Cambria" w:hAnsi="Times New Roman" w:cs="Times New Roman"/>
                <w:iCs/>
                <w:sz w:val="20"/>
                <w:szCs w:val="20"/>
              </w:rPr>
            </w:pPr>
            <w:r w:rsidRPr="00B52047">
              <w:rPr>
                <w:rFonts w:ascii="Times New Roman" w:eastAsia="Cambria" w:hAnsi="Times New Roman" w:cs="Times New Roman"/>
                <w:b/>
                <w:bCs/>
                <w:iCs/>
                <w:sz w:val="20"/>
                <w:szCs w:val="20"/>
              </w:rPr>
              <w:t>Overall Average</w:t>
            </w:r>
          </w:p>
        </w:tc>
        <w:tc>
          <w:tcPr>
            <w:tcW w:w="2268" w:type="dxa"/>
            <w:tcBorders>
              <w:top w:val="nil"/>
              <w:left w:val="nil"/>
              <w:right w:val="nil"/>
            </w:tcBorders>
            <w:vAlign w:val="center"/>
          </w:tcPr>
          <w:p w14:paraId="09E8731B" w14:textId="77777777" w:rsidR="00DA63D4" w:rsidRPr="00DA63D4" w:rsidRDefault="00DA63D4" w:rsidP="00DA63D4">
            <w:pPr>
              <w:spacing w:before="0" w:line="240" w:lineRule="auto"/>
              <w:jc w:val="center"/>
              <w:rPr>
                <w:rFonts w:ascii="Times New Roman" w:eastAsia="Cambria" w:hAnsi="Times New Roman" w:cs="Times New Roman"/>
                <w:b/>
                <w:color w:val="000000"/>
                <w:sz w:val="20"/>
                <w:szCs w:val="20"/>
              </w:rPr>
            </w:pPr>
            <w:r w:rsidRPr="00DA63D4">
              <w:rPr>
                <w:rFonts w:ascii="Times New Roman" w:eastAsia="Cambria" w:hAnsi="Times New Roman" w:cs="Times New Roman"/>
                <w:b/>
                <w:color w:val="000000"/>
                <w:sz w:val="20"/>
                <w:szCs w:val="20"/>
              </w:rPr>
              <w:t>54,6%</w:t>
            </w:r>
          </w:p>
        </w:tc>
        <w:tc>
          <w:tcPr>
            <w:tcW w:w="1842" w:type="dxa"/>
            <w:tcBorders>
              <w:top w:val="nil"/>
              <w:left w:val="nil"/>
              <w:right w:val="nil"/>
            </w:tcBorders>
            <w:vAlign w:val="center"/>
          </w:tcPr>
          <w:p w14:paraId="359483AA" w14:textId="4E1BB26D" w:rsidR="00DA63D4" w:rsidRPr="00DA63D4" w:rsidRDefault="00DA63D4" w:rsidP="00DA63D4">
            <w:pPr>
              <w:spacing w:before="0" w:line="240" w:lineRule="auto"/>
              <w:jc w:val="center"/>
              <w:rPr>
                <w:rFonts w:ascii="Times New Roman" w:eastAsia="Cambria" w:hAnsi="Times New Roman" w:cs="Times New Roman"/>
                <w:b/>
                <w:color w:val="000000"/>
                <w:sz w:val="20"/>
                <w:szCs w:val="20"/>
              </w:rPr>
            </w:pPr>
            <w:r w:rsidRPr="00DA63D4">
              <w:rPr>
                <w:rFonts w:ascii="Times New Roman" w:eastAsia="Cambria" w:hAnsi="Times New Roman" w:cs="Times New Roman"/>
                <w:b/>
                <w:color w:val="000000"/>
                <w:sz w:val="20"/>
                <w:szCs w:val="20"/>
              </w:rPr>
              <w:t>91,8%</w:t>
            </w:r>
          </w:p>
        </w:tc>
        <w:tc>
          <w:tcPr>
            <w:tcW w:w="1699" w:type="dxa"/>
            <w:tcBorders>
              <w:top w:val="nil"/>
              <w:left w:val="nil"/>
              <w:right w:val="nil"/>
            </w:tcBorders>
            <w:vAlign w:val="center"/>
          </w:tcPr>
          <w:p w14:paraId="1D8BD4B8" w14:textId="4EC6D3DC" w:rsidR="00DA63D4" w:rsidRPr="00DA63D4" w:rsidRDefault="00DA63D4" w:rsidP="00DA63D4">
            <w:pPr>
              <w:spacing w:before="0" w:line="240" w:lineRule="auto"/>
              <w:jc w:val="center"/>
              <w:rPr>
                <w:rFonts w:ascii="Times New Roman" w:eastAsia="Cambria" w:hAnsi="Times New Roman" w:cs="Times New Roman"/>
                <w:b/>
                <w:color w:val="000000"/>
                <w:sz w:val="20"/>
                <w:szCs w:val="20"/>
              </w:rPr>
            </w:pPr>
            <w:r w:rsidRPr="00DA63D4">
              <w:rPr>
                <w:rFonts w:ascii="Times New Roman" w:eastAsia="Cambria" w:hAnsi="Times New Roman" w:cs="Times New Roman"/>
                <w:b/>
                <w:color w:val="000000"/>
                <w:sz w:val="20"/>
                <w:szCs w:val="20"/>
                <w:lang w:val="en-US"/>
              </w:rPr>
              <w:t>37</w:t>
            </w:r>
            <w:r w:rsidRPr="00DA63D4">
              <w:rPr>
                <w:rFonts w:ascii="Times New Roman" w:eastAsia="Cambria" w:hAnsi="Times New Roman" w:cs="Times New Roman"/>
                <w:b/>
                <w:color w:val="000000"/>
                <w:sz w:val="20"/>
                <w:szCs w:val="20"/>
              </w:rPr>
              <w:t>,</w:t>
            </w:r>
            <w:r w:rsidRPr="00DA63D4">
              <w:rPr>
                <w:rFonts w:ascii="Times New Roman" w:eastAsia="Cambria" w:hAnsi="Times New Roman" w:cs="Times New Roman"/>
                <w:b/>
                <w:color w:val="000000"/>
                <w:sz w:val="20"/>
                <w:szCs w:val="20"/>
                <w:lang w:val="en-US"/>
              </w:rPr>
              <w:t>2</w:t>
            </w:r>
            <w:r w:rsidRPr="00DA63D4">
              <w:rPr>
                <w:rFonts w:ascii="Times New Roman" w:eastAsia="Cambria" w:hAnsi="Times New Roman" w:cs="Times New Roman"/>
                <w:b/>
                <w:color w:val="000000"/>
                <w:sz w:val="20"/>
                <w:szCs w:val="20"/>
              </w:rPr>
              <w:t>%</w:t>
            </w:r>
          </w:p>
        </w:tc>
      </w:tr>
    </w:tbl>
    <w:p w14:paraId="737FE475" w14:textId="77777777" w:rsidR="00416878" w:rsidRPr="000B3DEE" w:rsidRDefault="00416878" w:rsidP="00416878">
      <w:pPr>
        <w:spacing w:before="0" w:line="240" w:lineRule="auto"/>
        <w:rPr>
          <w:sz w:val="20"/>
          <w:szCs w:val="20"/>
        </w:rPr>
      </w:pPr>
    </w:p>
    <w:p w14:paraId="3F845894" w14:textId="6D6CA9E1" w:rsidR="007171BF" w:rsidRDefault="00836907" w:rsidP="00915587">
      <w:pPr>
        <w:spacing w:before="0" w:line="240" w:lineRule="auto"/>
        <w:rPr>
          <w:rFonts w:ascii="Cambria" w:eastAsia="Cambria" w:hAnsi="Cambria" w:cs="Cambria"/>
          <w:bCs/>
          <w:color w:val="000000"/>
          <w:sz w:val="20"/>
          <w:szCs w:val="20"/>
        </w:rPr>
      </w:pPr>
      <w:r>
        <w:rPr>
          <w:rFonts w:ascii="Cambria" w:eastAsia="Cambria" w:hAnsi="Cambria" w:cs="Cambria"/>
          <w:bCs/>
          <w:color w:val="000000"/>
          <w:sz w:val="20"/>
          <w:szCs w:val="20"/>
        </w:rPr>
        <w:tab/>
      </w:r>
      <w:r w:rsidR="00DA63D4" w:rsidRPr="00A761CD">
        <w:rPr>
          <w:rFonts w:asciiTheme="majorHAnsi" w:eastAsia="Cambria" w:hAnsiTheme="majorHAnsi" w:cs="Cambria"/>
          <w:iCs/>
          <w:sz w:val="20"/>
          <w:szCs w:val="20"/>
        </w:rPr>
        <w:t>In the pre-learning implementation, it was found that learning with conventional methods (lectures) had not been able to provide maximum results and quality of learning in stimulating students' early counting skills. Learning that seems unidirectional and too dominated by the teacher is less effective because student involvement in learning activities is minimal so the concept of the material presented cannot be embedded and conveyed properly. Which then applied sorogan-based learning during the activity and obtained observation results regarding student learning activities shown in Table 3. It is then known that sorogan-based learning can increase students' active participation in the process of learning activities, although it has not shown a significant increase.</w:t>
      </w:r>
    </w:p>
    <w:p w14:paraId="683B19D6" w14:textId="3E5B163C" w:rsidR="00591B76" w:rsidRDefault="00591B76" w:rsidP="00BE63C2">
      <w:pPr>
        <w:spacing w:before="0" w:line="240" w:lineRule="auto"/>
        <w:rPr>
          <w:rFonts w:ascii="Cambria" w:eastAsia="Cambria" w:hAnsi="Cambria" w:cs="Cambria"/>
          <w:bCs/>
          <w:color w:val="000000"/>
          <w:sz w:val="20"/>
          <w:szCs w:val="20"/>
        </w:rPr>
      </w:pPr>
    </w:p>
    <w:p w14:paraId="4C348D37" w14:textId="62F0DF45" w:rsidR="0082592C" w:rsidRPr="0082592C" w:rsidRDefault="0082592C" w:rsidP="0082592C">
      <w:pPr>
        <w:pStyle w:val="Caption"/>
        <w:keepNext/>
        <w:spacing w:after="0"/>
        <w:rPr>
          <w:rFonts w:ascii="Times New Roman" w:eastAsia="Times New Roman" w:hAnsi="Times New Roman"/>
          <w:b w:val="0"/>
          <w:bCs w:val="0"/>
          <w:color w:val="0070C0"/>
          <w:sz w:val="20"/>
          <w:szCs w:val="20"/>
          <w:lang w:val="en-AU" w:eastAsia="tr-TR"/>
        </w:rPr>
      </w:pPr>
      <w:r w:rsidRPr="0082592C">
        <w:rPr>
          <w:rFonts w:ascii="Times New Roman" w:eastAsia="Times New Roman" w:hAnsi="Times New Roman"/>
          <w:color w:val="0070C0"/>
          <w:sz w:val="20"/>
          <w:szCs w:val="20"/>
          <w:lang w:val="en-AU" w:eastAsia="tr-TR"/>
        </w:rPr>
        <w:t xml:space="preserve">Table </w:t>
      </w:r>
      <w:r w:rsidRPr="0082592C">
        <w:rPr>
          <w:rFonts w:ascii="Times New Roman" w:eastAsia="Times New Roman" w:hAnsi="Times New Roman"/>
          <w:color w:val="0070C0"/>
          <w:sz w:val="20"/>
          <w:szCs w:val="20"/>
          <w:lang w:val="en-AU" w:eastAsia="tr-TR"/>
        </w:rPr>
        <w:fldChar w:fldCharType="begin"/>
      </w:r>
      <w:r w:rsidRPr="0082592C">
        <w:rPr>
          <w:rFonts w:ascii="Times New Roman" w:eastAsia="Times New Roman" w:hAnsi="Times New Roman"/>
          <w:color w:val="0070C0"/>
          <w:sz w:val="20"/>
          <w:szCs w:val="20"/>
          <w:lang w:val="en-AU" w:eastAsia="tr-TR"/>
        </w:rPr>
        <w:instrText xml:space="preserve"> SEQ Table \* ARABIC </w:instrText>
      </w:r>
      <w:r w:rsidRPr="0082592C">
        <w:rPr>
          <w:rFonts w:ascii="Times New Roman" w:eastAsia="Times New Roman" w:hAnsi="Times New Roman"/>
          <w:color w:val="0070C0"/>
          <w:sz w:val="20"/>
          <w:szCs w:val="20"/>
          <w:lang w:val="en-AU" w:eastAsia="tr-TR"/>
        </w:rPr>
        <w:fldChar w:fldCharType="separate"/>
      </w:r>
      <w:r w:rsidR="005966DD">
        <w:rPr>
          <w:rFonts w:ascii="Times New Roman" w:eastAsia="Times New Roman" w:hAnsi="Times New Roman"/>
          <w:noProof/>
          <w:color w:val="0070C0"/>
          <w:sz w:val="20"/>
          <w:szCs w:val="20"/>
          <w:lang w:val="en-AU" w:eastAsia="tr-TR"/>
        </w:rPr>
        <w:t>3</w:t>
      </w:r>
      <w:r w:rsidRPr="0082592C">
        <w:rPr>
          <w:rFonts w:ascii="Times New Roman" w:eastAsia="Times New Roman" w:hAnsi="Times New Roman"/>
          <w:color w:val="0070C0"/>
          <w:sz w:val="20"/>
          <w:szCs w:val="20"/>
          <w:lang w:val="en-AU" w:eastAsia="tr-TR"/>
        </w:rPr>
        <w:fldChar w:fldCharType="end"/>
      </w:r>
      <w:r w:rsidRPr="0082592C">
        <w:rPr>
          <w:rFonts w:ascii="Times New Roman" w:eastAsia="Times New Roman" w:hAnsi="Times New Roman"/>
          <w:color w:val="0070C0"/>
          <w:sz w:val="20"/>
          <w:szCs w:val="20"/>
          <w:lang w:val="en-AU" w:eastAsia="tr-TR"/>
        </w:rPr>
        <w:t>.</w:t>
      </w:r>
      <w:r w:rsidRPr="0082592C">
        <w:rPr>
          <w:rFonts w:ascii="Times New Roman" w:eastAsia="Times New Roman" w:hAnsi="Times New Roman"/>
          <w:b w:val="0"/>
          <w:bCs w:val="0"/>
          <w:color w:val="0070C0"/>
          <w:sz w:val="20"/>
          <w:szCs w:val="20"/>
          <w:lang w:val="en-AU" w:eastAsia="tr-TR"/>
        </w:rPr>
        <w:t xml:space="preserve"> Student performance observation outcome</w:t>
      </w:r>
      <w:r w:rsidR="009F7559">
        <w:rPr>
          <w:rFonts w:ascii="Times New Roman" w:eastAsia="Times New Roman" w:hAnsi="Times New Roman"/>
          <w:b w:val="0"/>
          <w:bCs w:val="0"/>
          <w:color w:val="0070C0"/>
          <w:sz w:val="20"/>
          <w:szCs w:val="20"/>
          <w:lang w:val="en-AU" w:eastAsia="tr-TR"/>
        </w:rPr>
        <w:t>s</w:t>
      </w:r>
    </w:p>
    <w:tbl>
      <w:tblPr>
        <w:tblStyle w:val="TableGrid"/>
        <w:tblW w:w="9178" w:type="dxa"/>
        <w:tblInd w:w="-108" w:type="dxa"/>
        <w:tblLayout w:type="fixed"/>
        <w:tblLook w:val="04A0" w:firstRow="1" w:lastRow="0" w:firstColumn="1" w:lastColumn="0" w:noHBand="0" w:noVBand="1"/>
      </w:tblPr>
      <w:tblGrid>
        <w:gridCol w:w="108"/>
        <w:gridCol w:w="562"/>
        <w:gridCol w:w="2691"/>
        <w:gridCol w:w="850"/>
        <w:gridCol w:w="1558"/>
        <w:gridCol w:w="1143"/>
        <w:gridCol w:w="1133"/>
        <w:gridCol w:w="1133"/>
      </w:tblGrid>
      <w:tr w:rsidR="00A761CD" w14:paraId="09C9AE57" w14:textId="77777777" w:rsidTr="0082592C">
        <w:trPr>
          <w:gridBefore w:val="1"/>
          <w:wBefore w:w="108" w:type="dxa"/>
        </w:trPr>
        <w:tc>
          <w:tcPr>
            <w:tcW w:w="562" w:type="dxa"/>
            <w:tcBorders>
              <w:left w:val="nil"/>
              <w:bottom w:val="single" w:sz="4" w:space="0" w:color="auto"/>
              <w:right w:val="nil"/>
            </w:tcBorders>
            <w:vAlign w:val="center"/>
          </w:tcPr>
          <w:p w14:paraId="3D98FB13" w14:textId="1B82D722" w:rsidR="00A761CD" w:rsidRPr="00A93F7D" w:rsidRDefault="00A761CD" w:rsidP="00A761CD">
            <w:pPr>
              <w:spacing w:before="0" w:line="240" w:lineRule="auto"/>
              <w:jc w:val="center"/>
              <w:rPr>
                <w:rFonts w:ascii="Cambria" w:eastAsia="Cambria" w:hAnsi="Cambria" w:cs="Cambria"/>
                <w:b/>
                <w:color w:val="000000"/>
                <w:sz w:val="20"/>
                <w:szCs w:val="20"/>
                <w:lang w:val="en-US"/>
              </w:rPr>
            </w:pPr>
            <w:r w:rsidRPr="00C97381">
              <w:rPr>
                <w:rFonts w:ascii="Cambria" w:eastAsia="Cambria" w:hAnsi="Cambria" w:cs="Cambria"/>
                <w:b/>
                <w:color w:val="000000"/>
                <w:sz w:val="20"/>
                <w:szCs w:val="20"/>
                <w:lang w:val="en-US"/>
              </w:rPr>
              <w:t>N</w:t>
            </w:r>
            <w:r w:rsidRPr="00A93F7D">
              <w:rPr>
                <w:rFonts w:ascii="Cambria" w:eastAsia="Cambria" w:hAnsi="Cambria" w:cs="Cambria"/>
                <w:b/>
                <w:color w:val="000000"/>
                <w:sz w:val="20"/>
                <w:szCs w:val="20"/>
                <w:lang w:val="en-US"/>
              </w:rPr>
              <w:t>o</w:t>
            </w:r>
          </w:p>
        </w:tc>
        <w:tc>
          <w:tcPr>
            <w:tcW w:w="2691" w:type="dxa"/>
            <w:tcBorders>
              <w:left w:val="nil"/>
              <w:bottom w:val="single" w:sz="4" w:space="0" w:color="auto"/>
              <w:right w:val="nil"/>
            </w:tcBorders>
            <w:vAlign w:val="center"/>
          </w:tcPr>
          <w:p w14:paraId="30E4DFCB" w14:textId="5B1ED8F2" w:rsidR="00A761CD" w:rsidRPr="00A93F7D" w:rsidRDefault="00A761CD" w:rsidP="00A761CD">
            <w:pPr>
              <w:spacing w:before="0" w:line="240" w:lineRule="auto"/>
              <w:ind w:left="0" w:firstLine="0"/>
              <w:jc w:val="center"/>
              <w:rPr>
                <w:rFonts w:ascii="Cambria" w:eastAsia="Cambria" w:hAnsi="Cambria" w:cs="Cambria"/>
                <w:b/>
                <w:color w:val="000000"/>
                <w:sz w:val="20"/>
                <w:szCs w:val="20"/>
                <w:lang w:val="en-US"/>
              </w:rPr>
            </w:pPr>
            <w:r>
              <w:rPr>
                <w:rFonts w:ascii="Times New Roman" w:eastAsia="Cambria" w:hAnsi="Times New Roman" w:cs="Times New Roman"/>
                <w:b/>
                <w:color w:val="000000"/>
                <w:sz w:val="20"/>
                <w:szCs w:val="20"/>
                <w:lang w:val="en-US"/>
              </w:rPr>
              <w:t>A</w:t>
            </w:r>
            <w:r w:rsidRPr="000F2844">
              <w:rPr>
                <w:rFonts w:ascii="Times New Roman" w:eastAsia="Cambria" w:hAnsi="Times New Roman" w:cs="Times New Roman"/>
                <w:b/>
                <w:color w:val="000000"/>
                <w:sz w:val="20"/>
                <w:szCs w:val="20"/>
                <w:lang w:val="en-US"/>
              </w:rPr>
              <w:t>spects observed</w:t>
            </w:r>
          </w:p>
        </w:tc>
        <w:tc>
          <w:tcPr>
            <w:tcW w:w="850" w:type="dxa"/>
            <w:tcBorders>
              <w:left w:val="nil"/>
              <w:bottom w:val="single" w:sz="4" w:space="0" w:color="auto"/>
              <w:right w:val="nil"/>
            </w:tcBorders>
          </w:tcPr>
          <w:p w14:paraId="3E104985" w14:textId="77777777" w:rsidR="00A761CD" w:rsidRDefault="00A761CD" w:rsidP="00A761CD">
            <w:pPr>
              <w:spacing w:before="0" w:line="276" w:lineRule="auto"/>
              <w:jc w:val="center"/>
              <w:rPr>
                <w:rFonts w:ascii="Times New Roman" w:eastAsia="Cambria" w:hAnsi="Times New Roman" w:cs="Times New Roman"/>
                <w:b/>
                <w:color w:val="000000"/>
                <w:sz w:val="20"/>
                <w:szCs w:val="20"/>
                <w:lang w:val="en-US"/>
              </w:rPr>
            </w:pPr>
            <w:r>
              <w:rPr>
                <w:rFonts w:ascii="Times New Roman" w:eastAsia="Cambria" w:hAnsi="Times New Roman" w:cs="Times New Roman"/>
                <w:b/>
                <w:color w:val="000000"/>
                <w:sz w:val="20"/>
                <w:szCs w:val="20"/>
                <w:lang w:val="en-US"/>
              </w:rPr>
              <w:t>Max</w:t>
            </w:r>
          </w:p>
          <w:p w14:paraId="7C6F0667" w14:textId="11E1497D" w:rsidR="00A761CD" w:rsidRPr="00A93F7D" w:rsidRDefault="00A761CD" w:rsidP="00A761CD">
            <w:pPr>
              <w:spacing w:before="0" w:line="240" w:lineRule="auto"/>
              <w:jc w:val="center"/>
              <w:rPr>
                <w:rFonts w:ascii="Cambria" w:eastAsia="Cambria" w:hAnsi="Cambria" w:cs="Cambria"/>
                <w:b/>
                <w:color w:val="000000"/>
                <w:sz w:val="20"/>
                <w:szCs w:val="20"/>
                <w:lang w:val="en-US"/>
              </w:rPr>
            </w:pPr>
            <w:r>
              <w:rPr>
                <w:rFonts w:ascii="Times New Roman" w:eastAsia="Cambria" w:hAnsi="Times New Roman" w:cs="Times New Roman"/>
                <w:b/>
                <w:color w:val="000000"/>
                <w:sz w:val="20"/>
                <w:szCs w:val="20"/>
                <w:lang w:val="en-US"/>
              </w:rPr>
              <w:t>Score</w:t>
            </w:r>
          </w:p>
        </w:tc>
        <w:tc>
          <w:tcPr>
            <w:tcW w:w="1558" w:type="dxa"/>
            <w:tcBorders>
              <w:left w:val="nil"/>
              <w:bottom w:val="single" w:sz="4" w:space="0" w:color="auto"/>
              <w:right w:val="nil"/>
            </w:tcBorders>
            <w:vAlign w:val="center"/>
          </w:tcPr>
          <w:p w14:paraId="576A4B0F" w14:textId="730E64A3" w:rsidR="00A761CD" w:rsidRPr="00A93F7D" w:rsidRDefault="00A761CD" w:rsidP="00A761CD">
            <w:pPr>
              <w:spacing w:before="0" w:line="240" w:lineRule="auto"/>
              <w:jc w:val="center"/>
              <w:rPr>
                <w:rFonts w:ascii="Cambria" w:eastAsia="Cambria" w:hAnsi="Cambria" w:cs="Cambria"/>
                <w:b/>
                <w:color w:val="000000"/>
                <w:sz w:val="20"/>
                <w:szCs w:val="20"/>
                <w:lang w:val="en-US"/>
              </w:rPr>
            </w:pPr>
            <w:r>
              <w:rPr>
                <w:rFonts w:ascii="Times New Roman" w:eastAsia="Cambria" w:hAnsi="Times New Roman" w:cs="Times New Roman"/>
                <w:b/>
                <w:color w:val="000000"/>
                <w:sz w:val="20"/>
                <w:szCs w:val="20"/>
                <w:lang w:val="en-US"/>
              </w:rPr>
              <w:t>Pre-learning</w:t>
            </w:r>
          </w:p>
        </w:tc>
        <w:tc>
          <w:tcPr>
            <w:tcW w:w="1143" w:type="dxa"/>
            <w:tcBorders>
              <w:left w:val="nil"/>
              <w:bottom w:val="single" w:sz="4" w:space="0" w:color="auto"/>
              <w:right w:val="nil"/>
            </w:tcBorders>
            <w:vAlign w:val="center"/>
          </w:tcPr>
          <w:p w14:paraId="23CE4FE6" w14:textId="13862B5A" w:rsidR="00A761CD" w:rsidRPr="00A93F7D" w:rsidRDefault="00A761CD" w:rsidP="00A761CD">
            <w:pPr>
              <w:spacing w:before="0" w:line="240" w:lineRule="auto"/>
              <w:jc w:val="center"/>
              <w:rPr>
                <w:rFonts w:ascii="Cambria" w:eastAsia="Cambria" w:hAnsi="Cambria" w:cs="Cambria"/>
                <w:b/>
                <w:color w:val="000000"/>
                <w:sz w:val="20"/>
                <w:szCs w:val="20"/>
                <w:lang w:val="en-US"/>
              </w:rPr>
            </w:pPr>
            <w:r>
              <w:rPr>
                <w:rFonts w:ascii="Times New Roman" w:eastAsia="Cambria" w:hAnsi="Times New Roman" w:cs="Times New Roman"/>
                <w:b/>
                <w:color w:val="000000"/>
                <w:sz w:val="20"/>
                <w:szCs w:val="20"/>
                <w:lang w:val="en-US"/>
              </w:rPr>
              <w:t>Cycle</w:t>
            </w:r>
            <w:r w:rsidRPr="00DF70BB">
              <w:rPr>
                <w:rFonts w:ascii="Times New Roman" w:eastAsia="Cambria" w:hAnsi="Times New Roman" w:cs="Times New Roman"/>
                <w:b/>
                <w:color w:val="000000"/>
                <w:sz w:val="20"/>
                <w:szCs w:val="20"/>
                <w:lang w:val="en-US"/>
              </w:rPr>
              <w:t xml:space="preserve"> I</w:t>
            </w:r>
          </w:p>
        </w:tc>
        <w:tc>
          <w:tcPr>
            <w:tcW w:w="1133" w:type="dxa"/>
            <w:tcBorders>
              <w:left w:val="nil"/>
              <w:bottom w:val="single" w:sz="4" w:space="0" w:color="auto"/>
              <w:right w:val="nil"/>
            </w:tcBorders>
            <w:vAlign w:val="center"/>
          </w:tcPr>
          <w:p w14:paraId="3CDBEF0A" w14:textId="4E99B379" w:rsidR="00A761CD" w:rsidRPr="00A93F7D" w:rsidRDefault="00A761CD" w:rsidP="00A761CD">
            <w:pPr>
              <w:spacing w:before="0" w:line="240" w:lineRule="auto"/>
              <w:jc w:val="center"/>
              <w:rPr>
                <w:rFonts w:ascii="Cambria" w:eastAsia="Cambria" w:hAnsi="Cambria" w:cs="Cambria"/>
                <w:b/>
                <w:color w:val="000000"/>
                <w:sz w:val="20"/>
                <w:szCs w:val="20"/>
                <w:lang w:val="en-US"/>
              </w:rPr>
            </w:pPr>
            <w:r>
              <w:rPr>
                <w:rFonts w:ascii="Times New Roman" w:eastAsia="Cambria" w:hAnsi="Times New Roman" w:cs="Times New Roman"/>
                <w:b/>
                <w:color w:val="000000"/>
                <w:sz w:val="20"/>
                <w:szCs w:val="20"/>
                <w:lang w:val="en-US"/>
              </w:rPr>
              <w:t>Cycle</w:t>
            </w:r>
            <w:r w:rsidRPr="00DF70BB">
              <w:rPr>
                <w:rFonts w:ascii="Times New Roman" w:eastAsia="Cambria" w:hAnsi="Times New Roman" w:cs="Times New Roman"/>
                <w:b/>
                <w:color w:val="000000"/>
                <w:sz w:val="20"/>
                <w:szCs w:val="20"/>
                <w:lang w:val="en-US"/>
              </w:rPr>
              <w:t xml:space="preserve"> II</w:t>
            </w:r>
          </w:p>
        </w:tc>
        <w:tc>
          <w:tcPr>
            <w:tcW w:w="1133" w:type="dxa"/>
            <w:tcBorders>
              <w:left w:val="nil"/>
              <w:bottom w:val="single" w:sz="4" w:space="0" w:color="auto"/>
              <w:right w:val="nil"/>
            </w:tcBorders>
            <w:vAlign w:val="center"/>
          </w:tcPr>
          <w:p w14:paraId="5C6E2D38" w14:textId="4D96E5DB" w:rsidR="00A761CD" w:rsidRPr="00A93F7D" w:rsidRDefault="00A761CD" w:rsidP="00A761CD">
            <w:pPr>
              <w:spacing w:before="0" w:line="240" w:lineRule="auto"/>
              <w:jc w:val="center"/>
              <w:rPr>
                <w:rFonts w:ascii="Cambria" w:eastAsia="Cambria" w:hAnsi="Cambria" w:cs="Cambria"/>
                <w:b/>
                <w:color w:val="000000"/>
                <w:sz w:val="20"/>
                <w:szCs w:val="20"/>
                <w:lang w:val="en-US"/>
              </w:rPr>
            </w:pPr>
            <w:r>
              <w:rPr>
                <w:rFonts w:ascii="Times New Roman" w:eastAsia="Cambria" w:hAnsi="Times New Roman" w:cs="Times New Roman"/>
                <w:b/>
                <w:color w:val="000000"/>
                <w:sz w:val="20"/>
                <w:szCs w:val="20"/>
                <w:lang w:val="en-US"/>
              </w:rPr>
              <w:t>Details</w:t>
            </w:r>
          </w:p>
        </w:tc>
      </w:tr>
      <w:tr w:rsidR="00A761CD" w14:paraId="158CCE81" w14:textId="77777777" w:rsidTr="0082592C">
        <w:trPr>
          <w:gridBefore w:val="1"/>
          <w:wBefore w:w="108" w:type="dxa"/>
        </w:trPr>
        <w:tc>
          <w:tcPr>
            <w:tcW w:w="562" w:type="dxa"/>
            <w:tcBorders>
              <w:top w:val="single" w:sz="4" w:space="0" w:color="auto"/>
              <w:left w:val="nil"/>
              <w:bottom w:val="nil"/>
              <w:right w:val="nil"/>
            </w:tcBorders>
          </w:tcPr>
          <w:p w14:paraId="1931EFC9" w14:textId="574594AD" w:rsidR="00A761CD" w:rsidRPr="00A93F7D" w:rsidRDefault="00A761CD" w:rsidP="00A761CD">
            <w:pPr>
              <w:spacing w:before="0" w:line="240" w:lineRule="auto"/>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1</w:t>
            </w:r>
          </w:p>
        </w:tc>
        <w:tc>
          <w:tcPr>
            <w:tcW w:w="2691" w:type="dxa"/>
            <w:tcBorders>
              <w:top w:val="single" w:sz="4" w:space="0" w:color="auto"/>
              <w:left w:val="nil"/>
              <w:bottom w:val="nil"/>
              <w:right w:val="nil"/>
            </w:tcBorders>
          </w:tcPr>
          <w:p w14:paraId="2BC8C3FE" w14:textId="29C33A8A" w:rsidR="00A761CD" w:rsidRPr="007229ED" w:rsidRDefault="00A761CD" w:rsidP="00A761CD">
            <w:pPr>
              <w:spacing w:before="0" w:line="240" w:lineRule="auto"/>
              <w:rPr>
                <w:rFonts w:ascii="Cambria" w:eastAsia="Cambria" w:hAnsi="Cambria" w:cs="Cambria"/>
                <w:bCs/>
                <w:color w:val="000000"/>
                <w:sz w:val="20"/>
                <w:szCs w:val="20"/>
                <w:lang w:val="en-US"/>
              </w:rPr>
            </w:pPr>
            <w:r>
              <w:rPr>
                <w:rFonts w:ascii="Times New Roman" w:eastAsia="Cambria" w:hAnsi="Times New Roman" w:cs="Times New Roman"/>
                <w:bCs/>
                <w:color w:val="000000"/>
                <w:sz w:val="20"/>
                <w:szCs w:val="20"/>
                <w:lang w:val="en-US"/>
              </w:rPr>
              <w:t>A</w:t>
            </w:r>
            <w:r w:rsidRPr="0071741F">
              <w:rPr>
                <w:rFonts w:ascii="Times New Roman" w:eastAsia="Cambria" w:hAnsi="Times New Roman" w:cs="Times New Roman"/>
                <w:bCs/>
                <w:color w:val="000000"/>
                <w:sz w:val="20"/>
                <w:szCs w:val="20"/>
                <w:lang w:val="en-US"/>
              </w:rPr>
              <w:t>sking questions</w:t>
            </w:r>
          </w:p>
        </w:tc>
        <w:tc>
          <w:tcPr>
            <w:tcW w:w="850" w:type="dxa"/>
            <w:tcBorders>
              <w:top w:val="single" w:sz="4" w:space="0" w:color="auto"/>
              <w:left w:val="nil"/>
              <w:bottom w:val="nil"/>
              <w:right w:val="nil"/>
            </w:tcBorders>
            <w:vAlign w:val="center"/>
          </w:tcPr>
          <w:p w14:paraId="52810371" w14:textId="4325D763" w:rsidR="00A761CD" w:rsidRPr="003C0CCC"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4</w:t>
            </w:r>
          </w:p>
        </w:tc>
        <w:tc>
          <w:tcPr>
            <w:tcW w:w="1558" w:type="dxa"/>
            <w:tcBorders>
              <w:top w:val="single" w:sz="4" w:space="0" w:color="auto"/>
              <w:left w:val="nil"/>
              <w:bottom w:val="nil"/>
              <w:right w:val="nil"/>
            </w:tcBorders>
            <w:vAlign w:val="center"/>
          </w:tcPr>
          <w:p w14:paraId="5013B62C" w14:textId="73A9AD3B" w:rsidR="00A761CD" w:rsidRPr="00347509"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1</w:t>
            </w:r>
          </w:p>
        </w:tc>
        <w:tc>
          <w:tcPr>
            <w:tcW w:w="1143" w:type="dxa"/>
            <w:tcBorders>
              <w:top w:val="single" w:sz="4" w:space="0" w:color="auto"/>
              <w:left w:val="nil"/>
              <w:bottom w:val="nil"/>
              <w:right w:val="nil"/>
            </w:tcBorders>
            <w:vAlign w:val="center"/>
          </w:tcPr>
          <w:p w14:paraId="1F409A17" w14:textId="3767CE42" w:rsidR="00A761CD" w:rsidRPr="00162000"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1</w:t>
            </w:r>
          </w:p>
        </w:tc>
        <w:tc>
          <w:tcPr>
            <w:tcW w:w="1133" w:type="dxa"/>
            <w:tcBorders>
              <w:top w:val="single" w:sz="4" w:space="0" w:color="auto"/>
              <w:left w:val="nil"/>
              <w:bottom w:val="nil"/>
              <w:right w:val="nil"/>
            </w:tcBorders>
            <w:vAlign w:val="center"/>
          </w:tcPr>
          <w:p w14:paraId="0C64319C" w14:textId="0361F496" w:rsidR="00A761CD" w:rsidRPr="00CB1A99"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2</w:t>
            </w:r>
          </w:p>
        </w:tc>
        <w:tc>
          <w:tcPr>
            <w:tcW w:w="1133" w:type="dxa"/>
            <w:tcBorders>
              <w:top w:val="single" w:sz="4" w:space="0" w:color="auto"/>
              <w:left w:val="nil"/>
              <w:bottom w:val="nil"/>
              <w:right w:val="nil"/>
            </w:tcBorders>
            <w:vAlign w:val="center"/>
          </w:tcPr>
          <w:p w14:paraId="7ACFEB8F" w14:textId="77777777" w:rsidR="00A761CD" w:rsidRDefault="00A761CD" w:rsidP="00A761CD">
            <w:pPr>
              <w:spacing w:before="0" w:line="240" w:lineRule="auto"/>
              <w:jc w:val="center"/>
              <w:rPr>
                <w:rFonts w:ascii="Cambria" w:eastAsia="Cambria" w:hAnsi="Cambria" w:cs="Cambria"/>
                <w:bCs/>
                <w:color w:val="000000"/>
                <w:sz w:val="20"/>
                <w:szCs w:val="20"/>
              </w:rPr>
            </w:pPr>
          </w:p>
        </w:tc>
      </w:tr>
      <w:tr w:rsidR="00A761CD" w14:paraId="267AF361" w14:textId="77777777" w:rsidTr="0082592C">
        <w:trPr>
          <w:gridBefore w:val="1"/>
          <w:wBefore w:w="108" w:type="dxa"/>
        </w:trPr>
        <w:tc>
          <w:tcPr>
            <w:tcW w:w="562" w:type="dxa"/>
            <w:tcBorders>
              <w:top w:val="nil"/>
              <w:left w:val="nil"/>
              <w:bottom w:val="nil"/>
              <w:right w:val="nil"/>
            </w:tcBorders>
          </w:tcPr>
          <w:p w14:paraId="55DAE096" w14:textId="2365A391" w:rsidR="00A761CD" w:rsidRPr="00A93F7D" w:rsidRDefault="00A761CD" w:rsidP="00A761CD">
            <w:pPr>
              <w:spacing w:before="0" w:line="240" w:lineRule="auto"/>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2</w:t>
            </w:r>
          </w:p>
        </w:tc>
        <w:tc>
          <w:tcPr>
            <w:tcW w:w="2691" w:type="dxa"/>
            <w:tcBorders>
              <w:top w:val="nil"/>
              <w:left w:val="nil"/>
              <w:bottom w:val="nil"/>
              <w:right w:val="nil"/>
            </w:tcBorders>
          </w:tcPr>
          <w:p w14:paraId="48E6BD66" w14:textId="21A48138" w:rsidR="00A761CD" w:rsidRPr="006B0443" w:rsidRDefault="00A761CD" w:rsidP="00A761CD">
            <w:pPr>
              <w:spacing w:before="0" w:line="240" w:lineRule="auto"/>
              <w:rPr>
                <w:rFonts w:ascii="Cambria" w:eastAsia="Cambria" w:hAnsi="Cambria" w:cs="Cambria"/>
                <w:bCs/>
                <w:color w:val="000000"/>
                <w:sz w:val="20"/>
                <w:szCs w:val="20"/>
                <w:lang w:val="en-US"/>
              </w:rPr>
            </w:pPr>
            <w:r>
              <w:rPr>
                <w:rFonts w:ascii="Times New Roman" w:eastAsia="Cambria" w:hAnsi="Times New Roman" w:cs="Times New Roman"/>
                <w:bCs/>
                <w:color w:val="000000"/>
                <w:sz w:val="20"/>
                <w:szCs w:val="20"/>
                <w:lang w:val="en-US"/>
              </w:rPr>
              <w:t>A</w:t>
            </w:r>
            <w:r w:rsidRPr="0071741F">
              <w:rPr>
                <w:rFonts w:ascii="Times New Roman" w:eastAsia="Cambria" w:hAnsi="Times New Roman" w:cs="Times New Roman"/>
                <w:bCs/>
                <w:color w:val="000000"/>
                <w:sz w:val="20"/>
                <w:szCs w:val="20"/>
                <w:lang w:val="en-US"/>
              </w:rPr>
              <w:t>nswering questions</w:t>
            </w:r>
          </w:p>
        </w:tc>
        <w:tc>
          <w:tcPr>
            <w:tcW w:w="850" w:type="dxa"/>
            <w:tcBorders>
              <w:top w:val="nil"/>
              <w:left w:val="nil"/>
              <w:bottom w:val="nil"/>
              <w:right w:val="nil"/>
            </w:tcBorders>
            <w:vAlign w:val="center"/>
          </w:tcPr>
          <w:p w14:paraId="236128F1" w14:textId="1DC4C928" w:rsidR="00A761CD" w:rsidRPr="003C0CCC"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4</w:t>
            </w:r>
          </w:p>
        </w:tc>
        <w:tc>
          <w:tcPr>
            <w:tcW w:w="1558" w:type="dxa"/>
            <w:tcBorders>
              <w:top w:val="nil"/>
              <w:left w:val="nil"/>
              <w:bottom w:val="nil"/>
              <w:right w:val="nil"/>
            </w:tcBorders>
            <w:vAlign w:val="center"/>
          </w:tcPr>
          <w:p w14:paraId="56FCC2E7" w14:textId="2E8306D4" w:rsidR="00A761CD" w:rsidRPr="00347509"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2</w:t>
            </w:r>
          </w:p>
        </w:tc>
        <w:tc>
          <w:tcPr>
            <w:tcW w:w="1143" w:type="dxa"/>
            <w:tcBorders>
              <w:top w:val="nil"/>
              <w:left w:val="nil"/>
              <w:bottom w:val="nil"/>
              <w:right w:val="nil"/>
            </w:tcBorders>
            <w:vAlign w:val="center"/>
          </w:tcPr>
          <w:p w14:paraId="39CDF162" w14:textId="22C695A6" w:rsidR="00A761CD" w:rsidRPr="00162000"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2</w:t>
            </w:r>
          </w:p>
        </w:tc>
        <w:tc>
          <w:tcPr>
            <w:tcW w:w="1133" w:type="dxa"/>
            <w:tcBorders>
              <w:top w:val="nil"/>
              <w:left w:val="nil"/>
              <w:bottom w:val="nil"/>
              <w:right w:val="nil"/>
            </w:tcBorders>
            <w:vAlign w:val="center"/>
          </w:tcPr>
          <w:p w14:paraId="2CB211CC" w14:textId="05A76F35" w:rsidR="00A761CD" w:rsidRPr="00CB1A99"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3</w:t>
            </w:r>
          </w:p>
        </w:tc>
        <w:tc>
          <w:tcPr>
            <w:tcW w:w="1133" w:type="dxa"/>
            <w:tcBorders>
              <w:top w:val="nil"/>
              <w:left w:val="nil"/>
              <w:bottom w:val="nil"/>
              <w:right w:val="nil"/>
            </w:tcBorders>
            <w:vAlign w:val="center"/>
          </w:tcPr>
          <w:p w14:paraId="466186BE" w14:textId="77777777" w:rsidR="00A761CD" w:rsidRDefault="00A761CD" w:rsidP="00A761CD">
            <w:pPr>
              <w:spacing w:before="0" w:line="240" w:lineRule="auto"/>
              <w:jc w:val="center"/>
              <w:rPr>
                <w:rFonts w:ascii="Cambria" w:eastAsia="Cambria" w:hAnsi="Cambria" w:cs="Cambria"/>
                <w:bCs/>
                <w:color w:val="000000"/>
                <w:sz w:val="20"/>
                <w:szCs w:val="20"/>
              </w:rPr>
            </w:pPr>
          </w:p>
        </w:tc>
      </w:tr>
      <w:tr w:rsidR="00A761CD" w14:paraId="720C4644" w14:textId="77777777" w:rsidTr="0082592C">
        <w:trPr>
          <w:gridBefore w:val="1"/>
          <w:wBefore w:w="108" w:type="dxa"/>
        </w:trPr>
        <w:tc>
          <w:tcPr>
            <w:tcW w:w="562" w:type="dxa"/>
            <w:tcBorders>
              <w:top w:val="nil"/>
              <w:left w:val="nil"/>
              <w:bottom w:val="nil"/>
              <w:right w:val="nil"/>
            </w:tcBorders>
          </w:tcPr>
          <w:p w14:paraId="55D7873C" w14:textId="0D40A8AD" w:rsidR="00A761CD" w:rsidRPr="00A93F7D" w:rsidRDefault="00A761CD" w:rsidP="00A761CD">
            <w:pPr>
              <w:spacing w:before="0" w:line="240" w:lineRule="auto"/>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3</w:t>
            </w:r>
          </w:p>
        </w:tc>
        <w:tc>
          <w:tcPr>
            <w:tcW w:w="2691" w:type="dxa"/>
            <w:tcBorders>
              <w:top w:val="nil"/>
              <w:left w:val="nil"/>
              <w:bottom w:val="nil"/>
              <w:right w:val="nil"/>
            </w:tcBorders>
          </w:tcPr>
          <w:p w14:paraId="31C255A6" w14:textId="77777777" w:rsidR="00A761CD" w:rsidRDefault="00A761CD" w:rsidP="0073701D">
            <w:pPr>
              <w:spacing w:before="0" w:line="240" w:lineRule="auto"/>
              <w:rPr>
                <w:rFonts w:ascii="Times New Roman" w:eastAsia="Cambria" w:hAnsi="Times New Roman" w:cs="Times New Roman"/>
                <w:bCs/>
                <w:color w:val="000000"/>
                <w:sz w:val="20"/>
                <w:szCs w:val="20"/>
                <w:lang w:val="en-US"/>
              </w:rPr>
            </w:pPr>
            <w:r w:rsidRPr="00E27251">
              <w:rPr>
                <w:rFonts w:ascii="Times New Roman" w:eastAsia="Cambria" w:hAnsi="Times New Roman" w:cs="Times New Roman"/>
                <w:bCs/>
                <w:color w:val="000000"/>
                <w:sz w:val="20"/>
                <w:szCs w:val="20"/>
                <w:lang w:val="en-US"/>
              </w:rPr>
              <w:t>Communicating the results of</w:t>
            </w:r>
          </w:p>
          <w:p w14:paraId="486BEF13" w14:textId="075C9335" w:rsidR="00A761CD" w:rsidRPr="009C65DF" w:rsidRDefault="00A761CD" w:rsidP="00A761CD">
            <w:pPr>
              <w:spacing w:before="0" w:line="240" w:lineRule="auto"/>
              <w:rPr>
                <w:rFonts w:ascii="Cambria" w:eastAsia="Cambria" w:hAnsi="Cambria" w:cs="Cambria"/>
                <w:bCs/>
                <w:color w:val="000000"/>
                <w:sz w:val="20"/>
                <w:szCs w:val="20"/>
                <w:lang w:val="en-US"/>
              </w:rPr>
            </w:pPr>
            <w:r w:rsidRPr="00E27251">
              <w:rPr>
                <w:rFonts w:ascii="Times New Roman" w:eastAsia="Cambria" w:hAnsi="Times New Roman" w:cs="Times New Roman"/>
                <w:bCs/>
                <w:color w:val="000000"/>
                <w:sz w:val="20"/>
                <w:szCs w:val="20"/>
                <w:lang w:val="en-US"/>
              </w:rPr>
              <w:t>work</w:t>
            </w:r>
          </w:p>
        </w:tc>
        <w:tc>
          <w:tcPr>
            <w:tcW w:w="850" w:type="dxa"/>
            <w:tcBorders>
              <w:top w:val="nil"/>
              <w:left w:val="nil"/>
              <w:bottom w:val="nil"/>
              <w:right w:val="nil"/>
            </w:tcBorders>
            <w:vAlign w:val="center"/>
          </w:tcPr>
          <w:p w14:paraId="1965DC41" w14:textId="2165D55B" w:rsidR="00A761CD" w:rsidRPr="003C0CCC"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4</w:t>
            </w:r>
          </w:p>
        </w:tc>
        <w:tc>
          <w:tcPr>
            <w:tcW w:w="1558" w:type="dxa"/>
            <w:tcBorders>
              <w:top w:val="nil"/>
              <w:left w:val="nil"/>
              <w:bottom w:val="nil"/>
              <w:right w:val="nil"/>
            </w:tcBorders>
            <w:vAlign w:val="center"/>
          </w:tcPr>
          <w:p w14:paraId="6FBF836A" w14:textId="3804E2F1" w:rsidR="00A761CD" w:rsidRPr="00347509"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1</w:t>
            </w:r>
          </w:p>
        </w:tc>
        <w:tc>
          <w:tcPr>
            <w:tcW w:w="1143" w:type="dxa"/>
            <w:tcBorders>
              <w:top w:val="nil"/>
              <w:left w:val="nil"/>
              <w:bottom w:val="nil"/>
              <w:right w:val="nil"/>
            </w:tcBorders>
            <w:vAlign w:val="center"/>
          </w:tcPr>
          <w:p w14:paraId="21217FB5" w14:textId="427F254B" w:rsidR="00A761CD" w:rsidRPr="00162000"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2</w:t>
            </w:r>
          </w:p>
        </w:tc>
        <w:tc>
          <w:tcPr>
            <w:tcW w:w="1133" w:type="dxa"/>
            <w:tcBorders>
              <w:top w:val="nil"/>
              <w:left w:val="nil"/>
              <w:bottom w:val="nil"/>
              <w:right w:val="nil"/>
            </w:tcBorders>
            <w:vAlign w:val="center"/>
          </w:tcPr>
          <w:p w14:paraId="1D2D0285" w14:textId="20E20E5A" w:rsidR="00A761CD" w:rsidRPr="00162000"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3</w:t>
            </w:r>
          </w:p>
        </w:tc>
        <w:tc>
          <w:tcPr>
            <w:tcW w:w="1133" w:type="dxa"/>
            <w:tcBorders>
              <w:top w:val="nil"/>
              <w:left w:val="nil"/>
              <w:bottom w:val="nil"/>
              <w:right w:val="nil"/>
            </w:tcBorders>
            <w:vAlign w:val="center"/>
          </w:tcPr>
          <w:p w14:paraId="62C671E5" w14:textId="77777777" w:rsidR="00A761CD" w:rsidRDefault="00A761CD" w:rsidP="00A761CD">
            <w:pPr>
              <w:spacing w:before="0" w:line="240" w:lineRule="auto"/>
              <w:jc w:val="center"/>
              <w:rPr>
                <w:rFonts w:ascii="Cambria" w:eastAsia="Cambria" w:hAnsi="Cambria" w:cs="Cambria"/>
                <w:bCs/>
                <w:color w:val="000000"/>
                <w:sz w:val="20"/>
                <w:szCs w:val="20"/>
              </w:rPr>
            </w:pPr>
          </w:p>
        </w:tc>
      </w:tr>
      <w:tr w:rsidR="00A761CD" w14:paraId="7BDD9573" w14:textId="77777777" w:rsidTr="0082592C">
        <w:trPr>
          <w:gridBefore w:val="1"/>
          <w:wBefore w:w="108" w:type="dxa"/>
        </w:trPr>
        <w:tc>
          <w:tcPr>
            <w:tcW w:w="562" w:type="dxa"/>
            <w:tcBorders>
              <w:top w:val="nil"/>
              <w:left w:val="nil"/>
              <w:bottom w:val="nil"/>
              <w:right w:val="nil"/>
            </w:tcBorders>
          </w:tcPr>
          <w:p w14:paraId="5BF08401" w14:textId="0493B4C4" w:rsidR="00A761CD" w:rsidRPr="00A93F7D" w:rsidRDefault="00A761CD" w:rsidP="00A761CD">
            <w:pPr>
              <w:spacing w:before="0" w:line="240" w:lineRule="auto"/>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4</w:t>
            </w:r>
          </w:p>
        </w:tc>
        <w:tc>
          <w:tcPr>
            <w:tcW w:w="2691" w:type="dxa"/>
            <w:tcBorders>
              <w:top w:val="nil"/>
              <w:left w:val="nil"/>
              <w:bottom w:val="nil"/>
              <w:right w:val="nil"/>
            </w:tcBorders>
          </w:tcPr>
          <w:p w14:paraId="35050A62" w14:textId="4C87D584" w:rsidR="00A761CD" w:rsidRPr="005A4A41" w:rsidRDefault="00A761CD" w:rsidP="00A761CD">
            <w:pPr>
              <w:spacing w:before="0" w:line="240" w:lineRule="auto"/>
              <w:rPr>
                <w:rFonts w:ascii="Cambria" w:eastAsia="Cambria" w:hAnsi="Cambria" w:cs="Cambria"/>
                <w:bCs/>
                <w:color w:val="000000"/>
                <w:sz w:val="20"/>
                <w:szCs w:val="20"/>
                <w:lang w:val="en-US"/>
              </w:rPr>
            </w:pPr>
            <w:r w:rsidRPr="002D78FB">
              <w:rPr>
                <w:rFonts w:ascii="Times New Roman" w:eastAsia="Cambria" w:hAnsi="Times New Roman" w:cs="Times New Roman"/>
                <w:bCs/>
                <w:color w:val="000000"/>
                <w:sz w:val="20"/>
                <w:szCs w:val="20"/>
                <w:lang w:val="en-US"/>
              </w:rPr>
              <w:t>Paying attention actively</w:t>
            </w:r>
          </w:p>
        </w:tc>
        <w:tc>
          <w:tcPr>
            <w:tcW w:w="850" w:type="dxa"/>
            <w:tcBorders>
              <w:top w:val="nil"/>
              <w:left w:val="nil"/>
              <w:bottom w:val="nil"/>
              <w:right w:val="nil"/>
            </w:tcBorders>
            <w:vAlign w:val="center"/>
          </w:tcPr>
          <w:p w14:paraId="114E96EA" w14:textId="5AB6C505" w:rsidR="00A761CD" w:rsidRPr="003C0CCC"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4</w:t>
            </w:r>
          </w:p>
        </w:tc>
        <w:tc>
          <w:tcPr>
            <w:tcW w:w="1558" w:type="dxa"/>
            <w:tcBorders>
              <w:top w:val="nil"/>
              <w:left w:val="nil"/>
              <w:bottom w:val="nil"/>
              <w:right w:val="nil"/>
            </w:tcBorders>
            <w:vAlign w:val="center"/>
          </w:tcPr>
          <w:p w14:paraId="1D6C1A49" w14:textId="088446D9" w:rsidR="00A761CD" w:rsidRPr="00347509"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1</w:t>
            </w:r>
          </w:p>
        </w:tc>
        <w:tc>
          <w:tcPr>
            <w:tcW w:w="1143" w:type="dxa"/>
            <w:tcBorders>
              <w:top w:val="nil"/>
              <w:left w:val="nil"/>
              <w:bottom w:val="nil"/>
              <w:right w:val="nil"/>
            </w:tcBorders>
            <w:vAlign w:val="center"/>
          </w:tcPr>
          <w:p w14:paraId="57391D56" w14:textId="2460825C" w:rsidR="00A761CD" w:rsidRPr="00162000"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2</w:t>
            </w:r>
          </w:p>
        </w:tc>
        <w:tc>
          <w:tcPr>
            <w:tcW w:w="1133" w:type="dxa"/>
            <w:tcBorders>
              <w:top w:val="nil"/>
              <w:left w:val="nil"/>
              <w:bottom w:val="nil"/>
              <w:right w:val="nil"/>
            </w:tcBorders>
            <w:vAlign w:val="center"/>
          </w:tcPr>
          <w:p w14:paraId="45275CA2" w14:textId="20596771" w:rsidR="00A761CD" w:rsidRPr="00162000"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3</w:t>
            </w:r>
          </w:p>
        </w:tc>
        <w:tc>
          <w:tcPr>
            <w:tcW w:w="1133" w:type="dxa"/>
            <w:tcBorders>
              <w:top w:val="nil"/>
              <w:left w:val="nil"/>
              <w:bottom w:val="nil"/>
              <w:right w:val="nil"/>
            </w:tcBorders>
            <w:vAlign w:val="center"/>
          </w:tcPr>
          <w:p w14:paraId="12199E60" w14:textId="77777777" w:rsidR="00A761CD" w:rsidRDefault="00A761CD" w:rsidP="00A761CD">
            <w:pPr>
              <w:spacing w:before="0" w:line="240" w:lineRule="auto"/>
              <w:jc w:val="center"/>
              <w:rPr>
                <w:rFonts w:ascii="Cambria" w:eastAsia="Cambria" w:hAnsi="Cambria" w:cs="Cambria"/>
                <w:bCs/>
                <w:color w:val="000000"/>
                <w:sz w:val="20"/>
                <w:szCs w:val="20"/>
              </w:rPr>
            </w:pPr>
          </w:p>
        </w:tc>
      </w:tr>
      <w:tr w:rsidR="00A761CD" w14:paraId="07A62227" w14:textId="77777777" w:rsidTr="0082592C">
        <w:trPr>
          <w:gridBefore w:val="1"/>
          <w:wBefore w:w="108" w:type="dxa"/>
        </w:trPr>
        <w:tc>
          <w:tcPr>
            <w:tcW w:w="562" w:type="dxa"/>
            <w:tcBorders>
              <w:top w:val="nil"/>
              <w:left w:val="nil"/>
              <w:bottom w:val="nil"/>
              <w:right w:val="nil"/>
            </w:tcBorders>
          </w:tcPr>
          <w:p w14:paraId="2CAE3091" w14:textId="0B78E233" w:rsidR="00A761CD" w:rsidRDefault="00A761CD" w:rsidP="00A761CD">
            <w:pPr>
              <w:spacing w:before="0" w:line="240" w:lineRule="auto"/>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5</w:t>
            </w:r>
          </w:p>
        </w:tc>
        <w:tc>
          <w:tcPr>
            <w:tcW w:w="2691" w:type="dxa"/>
            <w:tcBorders>
              <w:top w:val="nil"/>
              <w:left w:val="nil"/>
              <w:bottom w:val="nil"/>
              <w:right w:val="nil"/>
            </w:tcBorders>
          </w:tcPr>
          <w:p w14:paraId="3189F95A" w14:textId="15E1ADCB" w:rsidR="00A761CD" w:rsidRPr="005A4A41" w:rsidRDefault="00A761CD" w:rsidP="00A761CD">
            <w:pPr>
              <w:spacing w:before="0" w:line="240" w:lineRule="auto"/>
              <w:rPr>
                <w:rFonts w:ascii="Cambria" w:eastAsia="Cambria" w:hAnsi="Cambria" w:cs="Cambria"/>
                <w:bCs/>
                <w:color w:val="000000"/>
                <w:sz w:val="20"/>
                <w:szCs w:val="20"/>
                <w:lang w:val="en-US"/>
              </w:rPr>
            </w:pPr>
            <w:r w:rsidRPr="00E27251">
              <w:rPr>
                <w:rFonts w:ascii="Times New Roman" w:eastAsia="Cambria" w:hAnsi="Times New Roman" w:cs="Times New Roman"/>
                <w:bCs/>
                <w:color w:val="000000"/>
                <w:sz w:val="20"/>
                <w:szCs w:val="20"/>
                <w:lang w:val="en-US"/>
              </w:rPr>
              <w:t>Work and learn actively active</w:t>
            </w:r>
          </w:p>
        </w:tc>
        <w:tc>
          <w:tcPr>
            <w:tcW w:w="850" w:type="dxa"/>
            <w:tcBorders>
              <w:top w:val="nil"/>
              <w:left w:val="nil"/>
              <w:bottom w:val="nil"/>
              <w:right w:val="nil"/>
            </w:tcBorders>
            <w:vAlign w:val="center"/>
          </w:tcPr>
          <w:p w14:paraId="1B957798" w14:textId="30B13D2A" w:rsidR="00A761CD" w:rsidRPr="003C0CCC"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4</w:t>
            </w:r>
          </w:p>
        </w:tc>
        <w:tc>
          <w:tcPr>
            <w:tcW w:w="1558" w:type="dxa"/>
            <w:tcBorders>
              <w:top w:val="nil"/>
              <w:left w:val="nil"/>
              <w:bottom w:val="nil"/>
              <w:right w:val="nil"/>
            </w:tcBorders>
            <w:vAlign w:val="center"/>
          </w:tcPr>
          <w:p w14:paraId="152FC0E6" w14:textId="58B685F6" w:rsidR="00A761CD" w:rsidRPr="00347509"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2</w:t>
            </w:r>
          </w:p>
        </w:tc>
        <w:tc>
          <w:tcPr>
            <w:tcW w:w="1143" w:type="dxa"/>
            <w:tcBorders>
              <w:top w:val="nil"/>
              <w:left w:val="nil"/>
              <w:bottom w:val="nil"/>
              <w:right w:val="nil"/>
            </w:tcBorders>
            <w:vAlign w:val="center"/>
          </w:tcPr>
          <w:p w14:paraId="6407EACE" w14:textId="2575C8BC" w:rsidR="00A761CD" w:rsidRPr="00162000"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3</w:t>
            </w:r>
          </w:p>
        </w:tc>
        <w:tc>
          <w:tcPr>
            <w:tcW w:w="1133" w:type="dxa"/>
            <w:tcBorders>
              <w:top w:val="nil"/>
              <w:left w:val="nil"/>
              <w:bottom w:val="nil"/>
              <w:right w:val="nil"/>
            </w:tcBorders>
            <w:vAlign w:val="center"/>
          </w:tcPr>
          <w:p w14:paraId="1EC7C3F8" w14:textId="32A28873" w:rsidR="00A761CD" w:rsidRPr="00162000" w:rsidRDefault="00A761CD" w:rsidP="00A761CD">
            <w:pPr>
              <w:spacing w:before="0" w:line="240" w:lineRule="auto"/>
              <w:jc w:val="center"/>
              <w:rPr>
                <w:rFonts w:ascii="Cambria" w:eastAsia="Cambria" w:hAnsi="Cambria" w:cs="Cambria"/>
                <w:bCs/>
                <w:color w:val="000000"/>
                <w:sz w:val="20"/>
                <w:szCs w:val="20"/>
                <w:lang w:val="en-US"/>
              </w:rPr>
            </w:pPr>
            <w:r>
              <w:rPr>
                <w:rFonts w:ascii="Cambria" w:eastAsia="Cambria" w:hAnsi="Cambria" w:cs="Cambria"/>
                <w:bCs/>
                <w:color w:val="000000"/>
                <w:sz w:val="20"/>
                <w:szCs w:val="20"/>
                <w:lang w:val="en-US"/>
              </w:rPr>
              <w:t>3</w:t>
            </w:r>
          </w:p>
        </w:tc>
        <w:tc>
          <w:tcPr>
            <w:tcW w:w="1133" w:type="dxa"/>
            <w:tcBorders>
              <w:top w:val="nil"/>
              <w:left w:val="nil"/>
              <w:bottom w:val="nil"/>
              <w:right w:val="nil"/>
            </w:tcBorders>
            <w:vAlign w:val="center"/>
          </w:tcPr>
          <w:p w14:paraId="70B5C07B" w14:textId="77777777" w:rsidR="00A761CD" w:rsidRDefault="00A761CD" w:rsidP="00A761CD">
            <w:pPr>
              <w:spacing w:before="0" w:line="240" w:lineRule="auto"/>
              <w:jc w:val="center"/>
              <w:rPr>
                <w:rFonts w:ascii="Cambria" w:eastAsia="Cambria" w:hAnsi="Cambria" w:cs="Cambria"/>
                <w:bCs/>
                <w:color w:val="000000"/>
                <w:sz w:val="20"/>
                <w:szCs w:val="20"/>
              </w:rPr>
            </w:pPr>
          </w:p>
        </w:tc>
      </w:tr>
      <w:tr w:rsidR="0073701D" w14:paraId="6086F305" w14:textId="77777777" w:rsidTr="007644D2">
        <w:tc>
          <w:tcPr>
            <w:tcW w:w="6912" w:type="dxa"/>
            <w:gridSpan w:val="6"/>
            <w:tcBorders>
              <w:top w:val="nil"/>
              <w:left w:val="nil"/>
              <w:bottom w:val="nil"/>
              <w:right w:val="nil"/>
            </w:tcBorders>
            <w:vAlign w:val="center"/>
          </w:tcPr>
          <w:p w14:paraId="784CC48E" w14:textId="4721D4E3" w:rsidR="0073701D" w:rsidRPr="00877E93" w:rsidRDefault="0073701D" w:rsidP="0073701D">
            <w:pPr>
              <w:tabs>
                <w:tab w:val="left" w:pos="605"/>
              </w:tabs>
              <w:spacing w:before="0" w:line="240" w:lineRule="auto"/>
              <w:jc w:val="center"/>
              <w:rPr>
                <w:rFonts w:ascii="Cambria" w:eastAsia="Cambria" w:hAnsi="Cambria" w:cs="Cambria"/>
                <w:b/>
                <w:color w:val="000000"/>
                <w:sz w:val="20"/>
                <w:szCs w:val="20"/>
                <w:lang w:val="en-US"/>
              </w:rPr>
            </w:pPr>
            <w:r>
              <w:rPr>
                <w:rFonts w:ascii="Times New Roman" w:eastAsia="Cambria" w:hAnsi="Times New Roman" w:cs="Times New Roman"/>
                <w:b/>
                <w:color w:val="000000"/>
                <w:sz w:val="20"/>
                <w:szCs w:val="20"/>
                <w:lang w:val="en-US"/>
              </w:rPr>
              <w:t>Total</w:t>
            </w:r>
          </w:p>
        </w:tc>
        <w:tc>
          <w:tcPr>
            <w:tcW w:w="1133" w:type="dxa"/>
            <w:tcBorders>
              <w:top w:val="nil"/>
              <w:left w:val="nil"/>
              <w:bottom w:val="nil"/>
              <w:right w:val="nil"/>
            </w:tcBorders>
            <w:vAlign w:val="center"/>
          </w:tcPr>
          <w:p w14:paraId="684B1344" w14:textId="6D241328" w:rsidR="0073701D" w:rsidRPr="00E93E3E" w:rsidRDefault="0073701D" w:rsidP="0073701D">
            <w:pPr>
              <w:spacing w:before="0" w:line="240" w:lineRule="auto"/>
              <w:jc w:val="center"/>
              <w:rPr>
                <w:rFonts w:ascii="Cambria" w:eastAsia="Cambria" w:hAnsi="Cambria" w:cs="Cambria"/>
                <w:bCs/>
                <w:color w:val="000000"/>
                <w:sz w:val="20"/>
                <w:szCs w:val="20"/>
                <w:lang w:val="en-US"/>
              </w:rPr>
            </w:pPr>
            <w:r w:rsidRPr="002D78FB">
              <w:rPr>
                <w:rFonts w:ascii="Times New Roman" w:eastAsia="Cambria" w:hAnsi="Times New Roman" w:cs="Times New Roman"/>
                <w:b/>
                <w:color w:val="000000"/>
                <w:sz w:val="20"/>
                <w:szCs w:val="20"/>
                <w:lang w:val="en-US"/>
              </w:rPr>
              <w:t>14</w:t>
            </w:r>
          </w:p>
        </w:tc>
        <w:tc>
          <w:tcPr>
            <w:tcW w:w="1133" w:type="dxa"/>
            <w:vMerge w:val="restart"/>
            <w:tcBorders>
              <w:top w:val="nil"/>
              <w:left w:val="nil"/>
              <w:right w:val="nil"/>
            </w:tcBorders>
            <w:vAlign w:val="center"/>
          </w:tcPr>
          <w:p w14:paraId="3E9F62C6" w14:textId="77777777" w:rsidR="0073701D" w:rsidRPr="002D78FB" w:rsidRDefault="0073701D" w:rsidP="0073701D">
            <w:pPr>
              <w:spacing w:before="0" w:line="276" w:lineRule="auto"/>
              <w:jc w:val="center"/>
              <w:rPr>
                <w:rFonts w:ascii="Times New Roman" w:eastAsia="Cambria" w:hAnsi="Times New Roman" w:cs="Times New Roman"/>
                <w:b/>
                <w:color w:val="000000"/>
                <w:sz w:val="20"/>
                <w:szCs w:val="20"/>
                <w:lang w:val="en-US"/>
              </w:rPr>
            </w:pPr>
            <w:r w:rsidRPr="002D78FB">
              <w:rPr>
                <w:rFonts w:ascii="Times New Roman" w:eastAsia="Cambria" w:hAnsi="Times New Roman" w:cs="Times New Roman"/>
                <w:b/>
                <w:color w:val="000000"/>
                <w:sz w:val="20"/>
                <w:szCs w:val="20"/>
                <w:lang w:val="en-US"/>
              </w:rPr>
              <w:t>Medium</w:t>
            </w:r>
          </w:p>
          <w:p w14:paraId="232F16B5" w14:textId="039D2518" w:rsidR="0073701D" w:rsidRPr="00876E4C" w:rsidRDefault="0073701D" w:rsidP="0073701D">
            <w:pPr>
              <w:spacing w:before="0" w:line="240" w:lineRule="auto"/>
              <w:jc w:val="center"/>
              <w:rPr>
                <w:rFonts w:ascii="Cambria" w:eastAsia="Cambria" w:hAnsi="Cambria" w:cs="Cambria"/>
                <w:bCs/>
                <w:color w:val="000000"/>
                <w:sz w:val="20"/>
                <w:szCs w:val="20"/>
                <w:lang w:val="en-US"/>
              </w:rPr>
            </w:pPr>
            <w:r w:rsidRPr="002D78FB">
              <w:rPr>
                <w:rFonts w:ascii="Times New Roman" w:eastAsia="Cambria" w:hAnsi="Times New Roman" w:cs="Times New Roman"/>
                <w:b/>
                <w:color w:val="000000"/>
                <w:sz w:val="20"/>
                <w:szCs w:val="20"/>
                <w:lang w:val="en-US"/>
              </w:rPr>
              <w:t>Active</w:t>
            </w:r>
          </w:p>
        </w:tc>
      </w:tr>
      <w:tr w:rsidR="0073701D" w14:paraId="5133CD26" w14:textId="77777777" w:rsidTr="007644D2">
        <w:tc>
          <w:tcPr>
            <w:tcW w:w="6912" w:type="dxa"/>
            <w:gridSpan w:val="6"/>
            <w:tcBorders>
              <w:top w:val="nil"/>
              <w:left w:val="nil"/>
              <w:bottom w:val="single" w:sz="4" w:space="0" w:color="000000" w:themeColor="text1"/>
              <w:right w:val="nil"/>
            </w:tcBorders>
            <w:vAlign w:val="center"/>
          </w:tcPr>
          <w:p w14:paraId="52B13351" w14:textId="4F294DC9" w:rsidR="0073701D" w:rsidRPr="00877E93" w:rsidRDefault="0073701D" w:rsidP="0073701D">
            <w:pPr>
              <w:tabs>
                <w:tab w:val="left" w:pos="605"/>
              </w:tabs>
              <w:spacing w:before="0" w:line="240" w:lineRule="auto"/>
              <w:jc w:val="center"/>
              <w:rPr>
                <w:rFonts w:ascii="Cambria" w:eastAsia="Cambria" w:hAnsi="Cambria" w:cs="Cambria"/>
                <w:b/>
                <w:color w:val="000000"/>
                <w:sz w:val="20"/>
                <w:szCs w:val="20"/>
                <w:lang w:val="en-US"/>
              </w:rPr>
            </w:pPr>
            <w:r>
              <w:rPr>
                <w:rFonts w:ascii="Times New Roman" w:eastAsia="Cambria" w:hAnsi="Times New Roman" w:cs="Times New Roman"/>
                <w:b/>
                <w:color w:val="000000"/>
                <w:sz w:val="20"/>
                <w:szCs w:val="20"/>
                <w:lang w:val="en-US"/>
              </w:rPr>
              <w:t>Average</w:t>
            </w:r>
          </w:p>
        </w:tc>
        <w:tc>
          <w:tcPr>
            <w:tcW w:w="1133" w:type="dxa"/>
            <w:tcBorders>
              <w:top w:val="nil"/>
              <w:left w:val="nil"/>
              <w:bottom w:val="single" w:sz="4" w:space="0" w:color="000000" w:themeColor="text1"/>
              <w:right w:val="nil"/>
            </w:tcBorders>
            <w:vAlign w:val="center"/>
          </w:tcPr>
          <w:p w14:paraId="37B635D0" w14:textId="751F3CBA" w:rsidR="0073701D" w:rsidRPr="00E93E3E" w:rsidRDefault="0073701D" w:rsidP="0073701D">
            <w:pPr>
              <w:spacing w:before="0" w:line="240" w:lineRule="auto"/>
              <w:jc w:val="center"/>
              <w:rPr>
                <w:rFonts w:ascii="Cambria" w:eastAsia="Cambria" w:hAnsi="Cambria" w:cs="Cambria"/>
                <w:bCs/>
                <w:color w:val="000000"/>
                <w:sz w:val="20"/>
                <w:szCs w:val="20"/>
                <w:lang w:val="en-US"/>
              </w:rPr>
            </w:pPr>
            <w:r w:rsidRPr="002D78FB">
              <w:rPr>
                <w:rFonts w:ascii="Times New Roman" w:eastAsia="Cambria" w:hAnsi="Times New Roman" w:cs="Times New Roman"/>
                <w:b/>
                <w:color w:val="000000"/>
                <w:sz w:val="20"/>
                <w:szCs w:val="20"/>
                <w:lang w:val="en-US"/>
              </w:rPr>
              <w:t>2,8</w:t>
            </w:r>
          </w:p>
        </w:tc>
        <w:tc>
          <w:tcPr>
            <w:tcW w:w="1133" w:type="dxa"/>
            <w:vMerge/>
            <w:tcBorders>
              <w:left w:val="nil"/>
              <w:right w:val="nil"/>
            </w:tcBorders>
          </w:tcPr>
          <w:p w14:paraId="643B4786" w14:textId="77777777" w:rsidR="0073701D" w:rsidRDefault="0073701D" w:rsidP="0073701D">
            <w:pPr>
              <w:spacing w:before="0" w:line="240" w:lineRule="auto"/>
              <w:rPr>
                <w:rFonts w:ascii="Cambria" w:eastAsia="Cambria" w:hAnsi="Cambria" w:cs="Cambria"/>
                <w:bCs/>
                <w:color w:val="000000"/>
                <w:sz w:val="20"/>
                <w:szCs w:val="20"/>
              </w:rPr>
            </w:pPr>
          </w:p>
        </w:tc>
      </w:tr>
      <w:tr w:rsidR="00E93E3E" w14:paraId="5AEEA1F5" w14:textId="77777777" w:rsidTr="0082592C">
        <w:trPr>
          <w:gridBefore w:val="1"/>
          <w:wBefore w:w="108" w:type="dxa"/>
        </w:trPr>
        <w:tc>
          <w:tcPr>
            <w:tcW w:w="7937" w:type="dxa"/>
            <w:gridSpan w:val="6"/>
            <w:tcBorders>
              <w:left w:val="nil"/>
              <w:bottom w:val="nil"/>
              <w:right w:val="nil"/>
            </w:tcBorders>
          </w:tcPr>
          <w:p w14:paraId="5B8F428B" w14:textId="400A3CC2" w:rsidR="00E93E3E" w:rsidRDefault="0073701D" w:rsidP="00BE63C2">
            <w:pPr>
              <w:spacing w:before="0" w:line="240" w:lineRule="auto"/>
              <w:rPr>
                <w:rFonts w:ascii="Cambria" w:eastAsia="Cambria" w:hAnsi="Cambria" w:cs="Cambria"/>
                <w:bCs/>
                <w:color w:val="000000"/>
                <w:sz w:val="20"/>
                <w:szCs w:val="20"/>
              </w:rPr>
            </w:pPr>
            <w:r w:rsidRPr="00DF70BB">
              <w:rPr>
                <w:rFonts w:ascii="Times New Roman" w:eastAsia="Cambria" w:hAnsi="Times New Roman" w:cs="Times New Roman"/>
                <w:bCs/>
                <w:color w:val="000000"/>
                <w:sz w:val="20"/>
                <w:szCs w:val="20"/>
                <w:lang w:val="en-US"/>
              </w:rPr>
              <w:t xml:space="preserve">4 = </w:t>
            </w:r>
            <w:r>
              <w:rPr>
                <w:rFonts w:ascii="Times New Roman" w:eastAsia="Cambria" w:hAnsi="Times New Roman" w:cs="Times New Roman"/>
                <w:bCs/>
                <w:color w:val="000000"/>
                <w:sz w:val="20"/>
                <w:szCs w:val="20"/>
                <w:lang w:val="en-US"/>
              </w:rPr>
              <w:t xml:space="preserve">very </w:t>
            </w:r>
            <w:proofErr w:type="gramStart"/>
            <w:r>
              <w:rPr>
                <w:rFonts w:ascii="Times New Roman" w:eastAsia="Cambria" w:hAnsi="Times New Roman" w:cs="Times New Roman"/>
                <w:bCs/>
                <w:color w:val="000000"/>
                <w:sz w:val="20"/>
                <w:szCs w:val="20"/>
                <w:lang w:val="en-US"/>
              </w:rPr>
              <w:t xml:space="preserve">active </w:t>
            </w:r>
            <w:r w:rsidRPr="00DF70BB">
              <w:rPr>
                <w:rFonts w:ascii="Times New Roman" w:eastAsia="Cambria" w:hAnsi="Times New Roman" w:cs="Times New Roman"/>
                <w:bCs/>
                <w:color w:val="000000"/>
                <w:sz w:val="20"/>
                <w:szCs w:val="20"/>
                <w:lang w:val="en-US"/>
              </w:rPr>
              <w:t>,</w:t>
            </w:r>
            <w:proofErr w:type="gramEnd"/>
            <w:r w:rsidRPr="00DF70BB">
              <w:rPr>
                <w:rFonts w:ascii="Times New Roman" w:eastAsia="Cambria" w:hAnsi="Times New Roman" w:cs="Times New Roman"/>
                <w:bCs/>
                <w:color w:val="000000"/>
                <w:sz w:val="20"/>
                <w:szCs w:val="20"/>
                <w:lang w:val="en-US"/>
              </w:rPr>
              <w:t xml:space="preserve"> </w:t>
            </w:r>
            <w:r w:rsidRPr="00DF70BB">
              <w:rPr>
                <w:rFonts w:ascii="Times New Roman" w:eastAsia="Cambria" w:hAnsi="Times New Roman" w:cs="Times New Roman"/>
                <w:bCs/>
                <w:color w:val="000000"/>
                <w:sz w:val="20"/>
                <w:szCs w:val="20"/>
              </w:rPr>
              <w:t xml:space="preserve">3 = </w:t>
            </w:r>
            <w:r>
              <w:rPr>
                <w:rFonts w:ascii="Times New Roman" w:eastAsia="Cambria" w:hAnsi="Times New Roman" w:cs="Times New Roman"/>
                <w:bCs/>
                <w:color w:val="000000"/>
                <w:sz w:val="20"/>
                <w:szCs w:val="20"/>
                <w:lang w:val="en-US"/>
              </w:rPr>
              <w:t>active</w:t>
            </w:r>
            <w:r w:rsidRPr="00DF70BB">
              <w:rPr>
                <w:rFonts w:ascii="Times New Roman" w:eastAsia="Cambria" w:hAnsi="Times New Roman" w:cs="Times New Roman"/>
                <w:bCs/>
                <w:color w:val="000000"/>
                <w:sz w:val="20"/>
                <w:szCs w:val="20"/>
              </w:rPr>
              <w:t xml:space="preserve">, 2 = </w:t>
            </w:r>
            <w:r>
              <w:rPr>
                <w:rFonts w:ascii="Times New Roman" w:eastAsia="Cambria" w:hAnsi="Times New Roman" w:cs="Times New Roman"/>
                <w:bCs/>
                <w:color w:val="000000"/>
                <w:sz w:val="20"/>
                <w:szCs w:val="20"/>
                <w:lang w:val="en-US"/>
              </w:rPr>
              <w:t>medium</w:t>
            </w:r>
            <w:r w:rsidRPr="00DF70BB">
              <w:rPr>
                <w:rFonts w:ascii="Times New Roman" w:eastAsia="Cambria" w:hAnsi="Times New Roman" w:cs="Times New Roman"/>
                <w:bCs/>
                <w:color w:val="000000"/>
                <w:sz w:val="20"/>
                <w:szCs w:val="20"/>
              </w:rPr>
              <w:t xml:space="preserve">, 1= </w:t>
            </w:r>
            <w:r>
              <w:rPr>
                <w:rFonts w:ascii="Times New Roman" w:eastAsia="Cambria" w:hAnsi="Times New Roman" w:cs="Times New Roman"/>
                <w:bCs/>
                <w:color w:val="000000"/>
                <w:sz w:val="20"/>
                <w:szCs w:val="20"/>
                <w:lang w:val="en-US"/>
              </w:rPr>
              <w:t>passive</w:t>
            </w:r>
          </w:p>
        </w:tc>
        <w:tc>
          <w:tcPr>
            <w:tcW w:w="1133" w:type="dxa"/>
            <w:tcBorders>
              <w:left w:val="nil"/>
              <w:bottom w:val="nil"/>
              <w:right w:val="nil"/>
            </w:tcBorders>
          </w:tcPr>
          <w:p w14:paraId="21F8A56A" w14:textId="77777777" w:rsidR="00E93E3E" w:rsidRDefault="00E93E3E" w:rsidP="00BE63C2">
            <w:pPr>
              <w:spacing w:before="0" w:line="240" w:lineRule="auto"/>
              <w:rPr>
                <w:rFonts w:ascii="Cambria" w:eastAsia="Cambria" w:hAnsi="Cambria" w:cs="Cambria"/>
                <w:bCs/>
                <w:color w:val="000000"/>
                <w:sz w:val="20"/>
                <w:szCs w:val="20"/>
              </w:rPr>
            </w:pPr>
          </w:p>
        </w:tc>
      </w:tr>
    </w:tbl>
    <w:p w14:paraId="64890B18" w14:textId="2CBED787" w:rsidR="00505DD5" w:rsidRDefault="00505DD5" w:rsidP="00BA49E2">
      <w:pPr>
        <w:spacing w:before="0" w:line="240" w:lineRule="auto"/>
        <w:rPr>
          <w:sz w:val="20"/>
          <w:szCs w:val="20"/>
        </w:rPr>
      </w:pPr>
    </w:p>
    <w:p w14:paraId="46F54ACA" w14:textId="3DC2D8B9" w:rsidR="006C6F65" w:rsidRPr="000B3DEE" w:rsidRDefault="006C6F65" w:rsidP="006C6F65">
      <w:pPr>
        <w:spacing w:before="0" w:line="240" w:lineRule="auto"/>
        <w:rPr>
          <w:b/>
          <w:bCs/>
          <w:sz w:val="20"/>
          <w:szCs w:val="20"/>
        </w:rPr>
      </w:pPr>
      <w:r w:rsidRPr="000B3DEE">
        <w:rPr>
          <w:b/>
          <w:bCs/>
          <w:sz w:val="20"/>
          <w:szCs w:val="20"/>
        </w:rPr>
        <w:t>Discussion</w:t>
      </w:r>
    </w:p>
    <w:p w14:paraId="3AFB220C" w14:textId="77777777" w:rsidR="00A6117F" w:rsidRPr="00A6117F" w:rsidRDefault="00A6117F" w:rsidP="00A6117F">
      <w:pPr>
        <w:spacing w:before="0" w:line="240" w:lineRule="auto"/>
        <w:ind w:firstLine="720"/>
        <w:rPr>
          <w:rFonts w:ascii="Cambria" w:eastAsia="Cambria" w:hAnsi="Cambria" w:cs="Cambria"/>
          <w:bCs/>
          <w:color w:val="000000"/>
          <w:sz w:val="20"/>
          <w:szCs w:val="20"/>
        </w:rPr>
      </w:pPr>
      <w:r w:rsidRPr="00A6117F">
        <w:rPr>
          <w:rFonts w:ascii="Cambria" w:eastAsia="Cambria" w:hAnsi="Cambria" w:cs="Cambria"/>
          <w:bCs/>
          <w:color w:val="000000"/>
          <w:sz w:val="20"/>
          <w:szCs w:val="20"/>
        </w:rPr>
        <w:t>In the pre-learning, it can be described that students' counting skills, starting from the ability to spell numbers, identify the sequence of numbers, and calculate operations, are still quite low. The low counting ability is caused by several things, including the learning flow that is less directed and tends to be dominated by the teacher so that the time and space used by students in the process is relatively less, the emergence of the doctrine that numeracy is something difficult this often makes students look anxious, uncomfortable, and unmotivated to engage in learning activities, and the learning atmosphere is not conducive resulting in them having difficulty focusing on learning.</w:t>
      </w:r>
    </w:p>
    <w:p w14:paraId="4F55FD80" w14:textId="77777777" w:rsidR="00A6117F" w:rsidRPr="00A6117F" w:rsidRDefault="00A6117F" w:rsidP="00A6117F">
      <w:pPr>
        <w:spacing w:before="0" w:line="240" w:lineRule="auto"/>
        <w:ind w:firstLine="720"/>
        <w:rPr>
          <w:rFonts w:ascii="Cambria" w:eastAsia="Cambria" w:hAnsi="Cambria" w:cs="Cambria"/>
          <w:bCs/>
          <w:color w:val="000000"/>
          <w:sz w:val="20"/>
          <w:szCs w:val="20"/>
        </w:rPr>
      </w:pPr>
      <w:r w:rsidRPr="00A6117F">
        <w:rPr>
          <w:rFonts w:ascii="Cambria" w:eastAsia="Cambria" w:hAnsi="Cambria" w:cs="Cambria"/>
          <w:bCs/>
          <w:color w:val="000000"/>
          <w:sz w:val="20"/>
          <w:szCs w:val="20"/>
        </w:rPr>
        <w:t xml:space="preserve">In the final results of the cycle I, each comprehension indicator on average had reached the 50% range. This achievement shows that there is a fairly good development in students' understanding of early counting. The increase in all indicators was helped by several supporting aspects, one of which was the learning activities carried out at meeting I, namely initial apperception to prepare students before performing more complex number operations, some of which were applied including number recognition activities, sorting numbers with the help of paper with numbers, and doing mini-games that are still related to numbers. The implementation of this activity aims to build students' initial perception of numbers well, build familiarity with students, and reduce students' negative stigma towards learning to count so that the learning atmosphere becomes </w:t>
      </w:r>
      <w:proofErr w:type="gramStart"/>
      <w:r w:rsidRPr="00A6117F">
        <w:rPr>
          <w:rFonts w:ascii="Cambria" w:eastAsia="Cambria" w:hAnsi="Cambria" w:cs="Cambria"/>
          <w:bCs/>
          <w:color w:val="000000"/>
          <w:sz w:val="20"/>
          <w:szCs w:val="20"/>
        </w:rPr>
        <w:t>more lively and passionate</w:t>
      </w:r>
      <w:proofErr w:type="gramEnd"/>
      <w:r w:rsidRPr="00A6117F">
        <w:rPr>
          <w:rFonts w:ascii="Cambria" w:eastAsia="Cambria" w:hAnsi="Cambria" w:cs="Cambria"/>
          <w:bCs/>
          <w:color w:val="000000"/>
          <w:sz w:val="20"/>
          <w:szCs w:val="20"/>
        </w:rPr>
        <w:t xml:space="preserve">. </w:t>
      </w:r>
    </w:p>
    <w:p w14:paraId="30EAFADB" w14:textId="77777777" w:rsidR="00A6117F" w:rsidRPr="00A6117F" w:rsidRDefault="00A6117F" w:rsidP="00A6117F">
      <w:pPr>
        <w:spacing w:before="0" w:line="240" w:lineRule="auto"/>
        <w:ind w:firstLine="720"/>
        <w:rPr>
          <w:rFonts w:ascii="Cambria" w:eastAsia="Cambria" w:hAnsi="Cambria" w:cs="Cambria"/>
          <w:bCs/>
          <w:color w:val="000000"/>
          <w:sz w:val="20"/>
          <w:szCs w:val="20"/>
        </w:rPr>
      </w:pPr>
      <w:r w:rsidRPr="00A6117F">
        <w:rPr>
          <w:rFonts w:ascii="Cambria" w:eastAsia="Cambria" w:hAnsi="Cambria" w:cs="Cambria"/>
          <w:bCs/>
          <w:color w:val="000000"/>
          <w:sz w:val="20"/>
          <w:szCs w:val="20"/>
        </w:rPr>
        <w:t xml:space="preserve">In meeting II, sorogan-based learning was applied, then the achievement of students' numeracy comprehension was in the Growing </w:t>
      </w:r>
      <w:proofErr w:type="gramStart"/>
      <w:r w:rsidRPr="00A6117F">
        <w:rPr>
          <w:rFonts w:ascii="Cambria" w:eastAsia="Cambria" w:hAnsi="Cambria" w:cs="Cambria"/>
          <w:bCs/>
          <w:color w:val="000000"/>
          <w:sz w:val="20"/>
          <w:szCs w:val="20"/>
        </w:rPr>
        <w:t>As</w:t>
      </w:r>
      <w:proofErr w:type="gramEnd"/>
      <w:r w:rsidRPr="00A6117F">
        <w:rPr>
          <w:rFonts w:ascii="Cambria" w:eastAsia="Cambria" w:hAnsi="Cambria" w:cs="Cambria"/>
          <w:bCs/>
          <w:color w:val="000000"/>
          <w:sz w:val="20"/>
          <w:szCs w:val="20"/>
        </w:rPr>
        <w:t xml:space="preserve"> Expected category, with the average student having completed level II LKS (counting operations below 10). Indicators of ability such as spelling numbers, identifying number sequences, and performing counting operations are in the sufficient category and still need to be improved, while in decomposing numbers and implementing them in everyday life, they are still relatively low. This shows that students are starting to master the basics of counting, namely in recognizing numbers, but in the phase of analyzing and applying them students still have difficulties. The results of interviews with students </w:t>
      </w:r>
      <w:r w:rsidRPr="00A6117F">
        <w:rPr>
          <w:rFonts w:ascii="Cambria" w:eastAsia="Cambria" w:hAnsi="Cambria" w:cs="Cambria"/>
          <w:bCs/>
          <w:color w:val="000000"/>
          <w:sz w:val="20"/>
          <w:szCs w:val="20"/>
        </w:rPr>
        <w:lastRenderedPageBreak/>
        <w:t>such as NN revealed that they had difficulty in identifying the number sequence of the given numbers, even though they showed proficiency in basic counting. Some aspects that are still a weakness of the learning implementation in cycle I are (1) students are not yet accustomed to sorogan-based learning, (2) learning is still dominated by students who have abilities at a level above other friends, (3) student learning activities still tend to be passive, question and answer activities are still lacking, (4) teachers are still hesitant and have little difficulty in determining the right solution to student problems. In overcoming these obstacles, reflection activities were carried out to make adjustments and evaluate the implementation so that further learning activities could be carried out more effectively and optimally.</w:t>
      </w:r>
    </w:p>
    <w:p w14:paraId="41A677DA" w14:textId="77777777" w:rsidR="00A6117F" w:rsidRPr="00A6117F" w:rsidRDefault="00A6117F" w:rsidP="00A6117F">
      <w:pPr>
        <w:spacing w:before="0" w:line="240" w:lineRule="auto"/>
        <w:ind w:firstLine="720"/>
        <w:rPr>
          <w:rFonts w:ascii="Cambria" w:eastAsia="Cambria" w:hAnsi="Cambria" w:cs="Cambria"/>
          <w:bCs/>
          <w:color w:val="000000"/>
          <w:sz w:val="20"/>
          <w:szCs w:val="20"/>
        </w:rPr>
      </w:pPr>
      <w:r w:rsidRPr="00A6117F">
        <w:rPr>
          <w:rFonts w:ascii="Cambria" w:eastAsia="Cambria" w:hAnsi="Cambria" w:cs="Cambria"/>
          <w:bCs/>
          <w:color w:val="000000"/>
          <w:sz w:val="20"/>
          <w:szCs w:val="20"/>
        </w:rPr>
        <w:t xml:space="preserve">In the final results of cycle II, the average achievement of students' understanding of beginning counting seen from each indicator has increased from the previous one in cycle I of 54.3% to 91.8% or in the Very </w:t>
      </w:r>
      <w:proofErr w:type="gramStart"/>
      <w:r w:rsidRPr="00A6117F">
        <w:rPr>
          <w:rFonts w:ascii="Cambria" w:eastAsia="Cambria" w:hAnsi="Cambria" w:cs="Cambria"/>
          <w:bCs/>
          <w:color w:val="000000"/>
          <w:sz w:val="20"/>
          <w:szCs w:val="20"/>
        </w:rPr>
        <w:t>Well Developed</w:t>
      </w:r>
      <w:proofErr w:type="gramEnd"/>
      <w:r w:rsidRPr="00A6117F">
        <w:rPr>
          <w:rFonts w:ascii="Cambria" w:eastAsia="Cambria" w:hAnsi="Cambria" w:cs="Cambria"/>
          <w:bCs/>
          <w:color w:val="000000"/>
          <w:sz w:val="20"/>
          <w:szCs w:val="20"/>
        </w:rPr>
        <w:t xml:space="preserve"> category. This achievement has met the success indicators set in this study. The increase in the results of this achievement was obtained from learning activities that had been carried out in 2 meetings. Where at meeting I the learning activities began by inviting students to count numbers sequentially forward and backward in turn, this was done to familiarize them with numbers as a first step in overcoming students' difficulties before operating numbers, and then the activity continued by giving practice questions to students to do. Then to trigger the activeness of all students in learning activities, the teacher tries to initiate students to discuss and several times provokes with several questions, students are also given the freedom to work either individually or discuss with their friends, as long as they can understand the flow of the solution. After completing the problem exercises, students came forward one by one to highlight their answers to the teacher and continued with questions and answers while being discussed and evaluated personally. Worksheets that have received corrections are then returned to students for improvement until the worksheets for each level are completed. The process is like a ladder, where each step stimulates children to develop their understanding and numeracy skills according to their ability level. This progress is partly due to the learning process as expected and the active involvement of students in completing the exercise problems, both in asking and answering questions, communicating the results of their work, and paying close attention to the teacher's explanation. It is then noted that two students such as PT and RK consistently achieved high scores in all indicators, this indicates that they began to understand the concept of beginning arithmetic with the effective application of the Sorogan method and were able to accept advanced arithmetic learning. Meanwhile, AI, DN, and NN showed moderate progress with some improvements still needed, especially in identifying number sequences, addition practice, and application. The role of the teacher here is needed, with patience and perseverance to guide and provide students with an understanding of counting. Continuous qualitative assessment still needs to be done to understand individual student challenges and motivation and maximize each student's learning potential. High interest and motivation make the concept of understanding indicators can be mastered well </w:t>
      </w:r>
      <w:r w:rsidRPr="00A6117F">
        <w:rPr>
          <w:rFonts w:ascii="Cambria" w:eastAsia="Cambria" w:hAnsi="Cambria" w:cs="Cambria"/>
          <w:bCs/>
          <w:color w:val="000000"/>
          <w:sz w:val="20"/>
          <w:szCs w:val="20"/>
        </w:rPr>
        <w:fldChar w:fldCharType="begin" w:fldLock="1"/>
      </w:r>
      <w:r w:rsidRPr="00A6117F">
        <w:rPr>
          <w:rFonts w:ascii="Cambria" w:eastAsia="Cambria" w:hAnsi="Cambria" w:cs="Cambria"/>
          <w:bCs/>
          <w:color w:val="000000"/>
          <w:sz w:val="20"/>
          <w:szCs w:val="20"/>
        </w:rPr>
        <w:instrText>ADDIN CSL_CITATION {"citationItems":[{"id":"ITEM-1","itemData":{"ISSN":"2686-4452","abstract":"Learning activities are influenced by two factors, namely interest and motivation. Interest is a feeling of interest, a sense of pleasure, caused by the stimulation of the activity itself. Motivation is an external urge to do something to achieve a goal. Understanding of mathematical concepts consists of 7 indicators, namely: a) Restate a concept; b) Classifying objects according to certain properties according to the concept; c) Give examples and not examples of concepts; d) Presenting concepts in various forms of mathematical representation; e) Developing the necessary or sufficient conditions for a concept; f) Using, utilizing, and selecting certain procedures or operations; g) Applying the concept or problem solving algorithm. The results showed that in mastering the understanding of mathematical concepts driven by interest in learning students were able to explain 5 indicators, namely indicators a, b, c, e, g. In mastering the understanding of mathematical concepts that are driven by learning motivation, students are able to explain 4 indicators, namely indicators a, b, d, f. In mastering the understanding of mathematical concepts that are driven by interest in learning and learning motivation, students are able to explain 5 indicators, namely indicators a, c, d, f, g.","author":[{"dropping-particle":"","family":"Arif Setyani","given":"Nur","non-dropping-particle":"","parse-names":false,"suffix":""},{"dropping-particle":"","family":"Sumaji","given":"","non-dropping-particle":"","parse-names":false,"suffix":""},{"dropping-particle":"","family":"Suhendar","given":"Uki","non-dropping-particle":"","parse-names":false,"suffix":""}],"container-title":"Journal of Mathematics Education and Applied","id":"ITEM-1","issue":"01","issued":{"date-parts":[["2022"]]},"page":"11-22","title":"Analisis keterkaitan minat belajar dan motivasi belajar dalam proses pemahaman konsep matematika","type":"article-journal","volume":"04"},"uris":["http://www.mendeley.com/documents/?uuid=634f84b7-90e7-4eac-a3e7-efb13287111e"]}],"mendeley":{"formattedCitation":"(Arif Setyani et al., 2022)","plainTextFormattedCitation":"(Arif Setyani et al., 2022)","previouslyFormattedCitation":"(Arif Setyani et al., 2022)"},"properties":{"noteIndex":0},"schema":"https://github.com/citation-style-language/schema/raw/master/csl-citation.json"}</w:instrText>
      </w:r>
      <w:r w:rsidRPr="00A6117F">
        <w:rPr>
          <w:rFonts w:ascii="Cambria" w:eastAsia="Cambria" w:hAnsi="Cambria" w:cs="Cambria"/>
          <w:bCs/>
          <w:color w:val="000000"/>
          <w:sz w:val="20"/>
          <w:szCs w:val="20"/>
        </w:rPr>
        <w:fldChar w:fldCharType="separate"/>
      </w:r>
      <w:r w:rsidRPr="00A6117F">
        <w:rPr>
          <w:rFonts w:ascii="Cambria" w:eastAsia="Cambria" w:hAnsi="Cambria" w:cs="Cambria"/>
          <w:bCs/>
          <w:color w:val="000000"/>
          <w:sz w:val="20"/>
          <w:szCs w:val="20"/>
        </w:rPr>
        <w:t>(Arif Setyani et al., 2022)</w:t>
      </w:r>
      <w:r w:rsidRPr="00A6117F">
        <w:rPr>
          <w:rFonts w:ascii="Cambria" w:eastAsia="Cambria" w:hAnsi="Cambria" w:cs="Cambria"/>
          <w:bCs/>
          <w:color w:val="000000"/>
          <w:sz w:val="20"/>
          <w:szCs w:val="20"/>
        </w:rPr>
        <w:fldChar w:fldCharType="end"/>
      </w:r>
      <w:r w:rsidRPr="00A6117F">
        <w:rPr>
          <w:rFonts w:ascii="Cambria" w:eastAsia="Cambria" w:hAnsi="Cambria" w:cs="Cambria"/>
          <w:bCs/>
          <w:color w:val="000000"/>
          <w:sz w:val="20"/>
          <w:szCs w:val="20"/>
        </w:rPr>
        <w:t xml:space="preserve">. </w:t>
      </w:r>
    </w:p>
    <w:p w14:paraId="2A50CD4C" w14:textId="77777777" w:rsidR="00A6117F" w:rsidRPr="00A6117F" w:rsidRDefault="00A6117F" w:rsidP="00A6117F">
      <w:pPr>
        <w:spacing w:before="0" w:line="240" w:lineRule="auto"/>
        <w:ind w:firstLine="720"/>
        <w:rPr>
          <w:rFonts w:ascii="Cambria" w:eastAsia="Cambria" w:hAnsi="Cambria" w:cs="Cambria"/>
          <w:bCs/>
          <w:color w:val="000000"/>
          <w:sz w:val="20"/>
          <w:szCs w:val="20"/>
        </w:rPr>
      </w:pPr>
      <w:r w:rsidRPr="00A6117F">
        <w:rPr>
          <w:rFonts w:ascii="Cambria" w:eastAsia="Cambria" w:hAnsi="Cambria" w:cs="Cambria"/>
          <w:bCs/>
          <w:color w:val="000000"/>
          <w:sz w:val="20"/>
          <w:szCs w:val="20"/>
        </w:rPr>
        <w:t xml:space="preserve">At meeting II, all indicators of students' numeracy comprehension were in the Very Well Developed (GW) category. Students' ability to spell numbers, identify the sequence of numbers, perform basic counting operations, decompose numbers, and apply them in daily life shows good progress and can still be improved by doing a lot of practice. This is partly supported by providing an understanding of the place value of numbers as an effort to correct misconceptions. Often, when doing addition, they are still not correct in placing the numbers according to their values, which leads to inaccurate addition results. This concept involves understanding that the position of a digit in a number affects its actual value </w:t>
      </w:r>
      <w:r w:rsidRPr="00A6117F">
        <w:rPr>
          <w:rFonts w:ascii="Cambria" w:eastAsia="Cambria" w:hAnsi="Cambria" w:cs="Cambria"/>
          <w:bCs/>
          <w:color w:val="000000"/>
          <w:sz w:val="20"/>
          <w:szCs w:val="20"/>
        </w:rPr>
        <w:fldChar w:fldCharType="begin" w:fldLock="1"/>
      </w:r>
      <w:r w:rsidRPr="00A6117F">
        <w:rPr>
          <w:rFonts w:ascii="Cambria" w:eastAsia="Cambria" w:hAnsi="Cambria" w:cs="Cambria"/>
          <w:bCs/>
          <w:color w:val="000000"/>
          <w:sz w:val="20"/>
          <w:szCs w:val="20"/>
        </w:rPr>
        <w:instrText>ADDIN CSL_CITATION {"citationItems":[{"id":"ITEM-1","itemData":{"DOI":"10.31949/jee.v6i2.5295","ISSN":"2615-4625","abstract":"Mathematics is one of the subjects that must exist at every level of education to support everyday life. Especially in the lower grades or in elementary school. In low grades, it is necessary to have a strong conceptual understanding so that misconceptions do not occur in subsequent learning, especially in learning place value. This article discusses the understanding of the concept of place value in elementary schools which needs to be considered in learning and discusses the media to support students in learning the concept of place value. The research method used in this study is a descriptive qualitative approach, using the literature review method. The data sources in this study are documents in the form of books, journals, scientific papers, and other documents that are relevant to the implementation of school culture in education. the character of courtesy and discipline of students in elementary schools. The results of the study show that there are many media that teachers can use to support learning. There are 7 learning media that can support learning to understand the concept of place value, namely number bag media, colored glass media, spedomatic media, learning trajectory, dienes blocks, number seed bag media, and number board media.","author":[{"dropping-particle":"","family":"Mulyasari","given":"Wiwit","non-dropping-particle":"","parse-names":false,"suffix":""},{"dropping-particle":"","family":"Fahrozy","given":"Fazrul Prasetya Nur","non-dropping-particle":"","parse-names":false,"suffix":""}],"container-title":"Jurnal Elementaria Edukasia","id":"ITEM-1","issue":"2","issued":{"date-parts":[["2023"]]},"page":"442-452","title":"Pemahaman Konsep Pada Nilai Tempat Di Sekolah Dasar","type":"article-journal","volume":"6"},"uris":["http://www.mendeley.com/documents/?uuid=a8bfa81f-08f6-4e90-b22f-c060d94376dd"]}],"mendeley":{"formattedCitation":"(Mulyasari &amp; Fahrozy, 2023)","plainTextFormattedCitation":"(Mulyasari &amp; Fahrozy, 2023)","previouslyFormattedCitation":"(Mulyasari &amp; Fahrozy, 2023)"},"properties":{"noteIndex":0},"schema":"https://github.com/citation-style-language/schema/raw/master/csl-citation.json"}</w:instrText>
      </w:r>
      <w:r w:rsidRPr="00A6117F">
        <w:rPr>
          <w:rFonts w:ascii="Cambria" w:eastAsia="Cambria" w:hAnsi="Cambria" w:cs="Cambria"/>
          <w:bCs/>
          <w:color w:val="000000"/>
          <w:sz w:val="20"/>
          <w:szCs w:val="20"/>
        </w:rPr>
        <w:fldChar w:fldCharType="separate"/>
      </w:r>
      <w:r w:rsidRPr="00A6117F">
        <w:rPr>
          <w:rFonts w:ascii="Cambria" w:eastAsia="Cambria" w:hAnsi="Cambria" w:cs="Cambria"/>
          <w:bCs/>
          <w:color w:val="000000"/>
          <w:sz w:val="20"/>
          <w:szCs w:val="20"/>
        </w:rPr>
        <w:t>(Mulyasari &amp; Fahrozy, 2023)</w:t>
      </w:r>
      <w:r w:rsidRPr="00A6117F">
        <w:rPr>
          <w:rFonts w:ascii="Cambria" w:eastAsia="Cambria" w:hAnsi="Cambria" w:cs="Cambria"/>
          <w:bCs/>
          <w:color w:val="000000"/>
          <w:sz w:val="20"/>
          <w:szCs w:val="20"/>
        </w:rPr>
        <w:fldChar w:fldCharType="end"/>
      </w:r>
      <w:r w:rsidRPr="00A6117F">
        <w:rPr>
          <w:rFonts w:ascii="Cambria" w:eastAsia="Cambria" w:hAnsi="Cambria" w:cs="Cambria"/>
          <w:bCs/>
          <w:color w:val="000000"/>
          <w:sz w:val="20"/>
          <w:szCs w:val="20"/>
        </w:rPr>
        <w:t xml:space="preserve">. </w:t>
      </w:r>
    </w:p>
    <w:p w14:paraId="78E0B40C" w14:textId="77777777" w:rsidR="00A6117F" w:rsidRPr="00A6117F" w:rsidRDefault="00A6117F" w:rsidP="00A6117F">
      <w:pPr>
        <w:spacing w:before="0" w:line="240" w:lineRule="auto"/>
        <w:ind w:firstLine="720"/>
        <w:rPr>
          <w:rFonts w:ascii="Cambria" w:eastAsia="Cambria" w:hAnsi="Cambria" w:cs="Cambria"/>
          <w:bCs/>
          <w:color w:val="000000"/>
          <w:sz w:val="20"/>
          <w:szCs w:val="20"/>
        </w:rPr>
      </w:pPr>
      <w:r w:rsidRPr="00A6117F">
        <w:rPr>
          <w:rFonts w:ascii="Cambria" w:eastAsia="Cambria" w:hAnsi="Cambria" w:cs="Cambria"/>
          <w:bCs/>
          <w:color w:val="000000"/>
          <w:sz w:val="20"/>
          <w:szCs w:val="20"/>
        </w:rPr>
        <w:t xml:space="preserve">The use of the sorogan method with the help of graded LKS applied in learning counting in Calistung B class of Learning Centre Permai can work properly. The results showed that there was a progression in student’s counting ability indicators, indicating that the sorogan learning method applied was effective or able to implementing to stimulating early numerical skills. The teacher of Calistung B class at Learning Centre Permai started the learning activities by familiarizing the children to count numbers sequentially forward/backward or conducting mini-games such as mentioning the numbers after/previous to the number that was given, this is an apperception that is done to build number sensitivity in children by training their intuitive thinking power towards numbers </w:t>
      </w:r>
      <w:r w:rsidRPr="00A6117F">
        <w:rPr>
          <w:rFonts w:ascii="Cambria" w:eastAsia="Cambria" w:hAnsi="Cambria" w:cs="Cambria"/>
          <w:bCs/>
          <w:color w:val="000000"/>
          <w:sz w:val="20"/>
          <w:szCs w:val="20"/>
        </w:rPr>
        <w:fldChar w:fldCharType="begin" w:fldLock="1"/>
      </w:r>
      <w:r w:rsidRPr="00A6117F">
        <w:rPr>
          <w:rFonts w:ascii="Cambria" w:eastAsia="Cambria" w:hAnsi="Cambria" w:cs="Cambria"/>
          <w:bCs/>
          <w:color w:val="000000"/>
          <w:sz w:val="20"/>
          <w:szCs w:val="20"/>
        </w:rPr>
        <w:instrText>ADDIN CSL_CITATION {"citationItems":[{"id":"ITEM-1","itemData":{"DOI":"10.24815/jdm.v6i1.11699","ISSN":"2355-4185","abstract":"This research aimed to describe the students’ thinking skills of each number sense category in solving mathematics problems. This study used a qualitative descriptive approach and involved one class of Year 7 students in one of junior high school in Ponorogo, Indonesia. Data collection involved test and non-test. The instruments were number sense ability test and mathematics problems including six cognitive categories. Data analysis included collecting data, reducing data, analyzing data and drawing conclusions. The results showed that students who had low number sense ability were classified as Lower Order Thinking Skill (LOTS) level. In this category, students can only solve mathematics problem involving remembering and understanding categories. While the students with medium number sense ability also identified at LOTS level. In this category, students can only solve the problem involving applying category. Furthermore, the students who had a high number sense ability were classified as Higher Order Thinking Skill (HOTS) level. In this category, students can solve the mathematics problem involving analyzing) and evaluating categories.","author":[{"dropping-particle":"","family":"Setyaningsih","given":"Lilik","non-dropping-particle":"","parse-names":false,"suffix":""},{"dropping-particle":"","family":"Ekayanti","given":"Arta","non-dropping-particle":"","parse-names":false,"suffix":""}],"container-title":"Jurnal Didaktik Matematika","id":"ITEM-1","issue":"1","issued":{"date-parts":[["2019"]]},"page":"28-39","title":"Keterampilan Berfikir Siswa SMP dalam Menyelesaikan Soal Matematika Ditinjau dari Kemampuan Number Sense","type":"article-journal","volume":"6"},"uris":["http://www.mendeley.com/documents/?uuid=17e61796-e2c8-4a53-9beb-a72da41abb48"]}],"mendeley":{"formattedCitation":"(Setyaningsih &amp; Ekayanti, 2019)","plainTextFormattedCitation":"(Setyaningsih &amp; Ekayanti, 2019)","previouslyFormattedCitation":"(Setyaningsih &amp; Ekayanti, 2019)"},"properties":{"noteIndex":0},"schema":"https://github.com/citation-style-language/schema/raw/master/csl-citation.json"}</w:instrText>
      </w:r>
      <w:r w:rsidRPr="00A6117F">
        <w:rPr>
          <w:rFonts w:ascii="Cambria" w:eastAsia="Cambria" w:hAnsi="Cambria" w:cs="Cambria"/>
          <w:bCs/>
          <w:color w:val="000000"/>
          <w:sz w:val="20"/>
          <w:szCs w:val="20"/>
        </w:rPr>
        <w:fldChar w:fldCharType="separate"/>
      </w:r>
      <w:r w:rsidRPr="00A6117F">
        <w:rPr>
          <w:rFonts w:ascii="Cambria" w:eastAsia="Cambria" w:hAnsi="Cambria" w:cs="Cambria"/>
          <w:bCs/>
          <w:color w:val="000000"/>
          <w:sz w:val="20"/>
          <w:szCs w:val="20"/>
        </w:rPr>
        <w:t>(Setyaningsih &amp; Ekayanti, 2019)</w:t>
      </w:r>
      <w:r w:rsidRPr="00A6117F">
        <w:rPr>
          <w:rFonts w:ascii="Cambria" w:eastAsia="Cambria" w:hAnsi="Cambria" w:cs="Cambria"/>
          <w:bCs/>
          <w:color w:val="000000"/>
          <w:sz w:val="20"/>
          <w:szCs w:val="20"/>
        </w:rPr>
        <w:fldChar w:fldCharType="end"/>
      </w:r>
      <w:r w:rsidRPr="00A6117F">
        <w:rPr>
          <w:rFonts w:ascii="Cambria" w:eastAsia="Cambria" w:hAnsi="Cambria" w:cs="Cambria"/>
          <w:bCs/>
          <w:color w:val="000000"/>
          <w:sz w:val="20"/>
          <w:szCs w:val="20"/>
        </w:rPr>
        <w:t xml:space="preserve">. This is in line with Kaufman et al. research </w:t>
      </w:r>
      <w:r w:rsidRPr="00A6117F">
        <w:rPr>
          <w:rFonts w:ascii="Cambria" w:eastAsia="Cambria" w:hAnsi="Cambria" w:cs="Cambria"/>
          <w:bCs/>
          <w:color w:val="000000"/>
          <w:sz w:val="20"/>
          <w:szCs w:val="20"/>
        </w:rPr>
        <w:fldChar w:fldCharType="begin" w:fldLock="1"/>
      </w:r>
      <w:r w:rsidRPr="00A6117F">
        <w:rPr>
          <w:rFonts w:ascii="Cambria" w:eastAsia="Cambria" w:hAnsi="Cambria" w:cs="Cambria"/>
          <w:bCs/>
          <w:color w:val="000000"/>
          <w:sz w:val="20"/>
          <w:szCs w:val="20"/>
        </w:rPr>
        <w:instrText>ADDIN CSL_CITATION {"citationItems":[{"id":"ITEM-1","itemData":{"DOI":"10.1007/978-3-319-97148-3_31","ISBN":"9783319971483","author":[{"dropping-particle":"","family":"Slusser","given":"Emily","non-dropping-particle":"","parse-names":false,"suffix":""}],"container-title":"International Handbook of Mathematical Learning Difficulties: From the Laboratory to the Classroom","id":"ITEM-1","issued":{"date-parts":[["2019"]]},"page":"521-542","title":"Counting and basic numerical skills","type":"article-journal"},"uris":["http://www.mendeley.com/documents/?uuid=b1a69356-259b-4aae-ad9a-f6ce62a40df0"]}],"mendeley":{"formattedCitation":"(Slusser, 2019)","plainTextFormattedCitation":"(Slusser, 2019)","previouslyFormattedCitation":"(Slusser, 2019)"},"properties":{"noteIndex":0},"schema":"https://github.com/citation-style-language/schema/raw/master/csl-citation.json"}</w:instrText>
      </w:r>
      <w:r w:rsidRPr="00A6117F">
        <w:rPr>
          <w:rFonts w:ascii="Cambria" w:eastAsia="Cambria" w:hAnsi="Cambria" w:cs="Cambria"/>
          <w:bCs/>
          <w:color w:val="000000"/>
          <w:sz w:val="20"/>
          <w:szCs w:val="20"/>
        </w:rPr>
        <w:fldChar w:fldCharType="separate"/>
      </w:r>
      <w:r w:rsidRPr="00A6117F">
        <w:rPr>
          <w:rFonts w:ascii="Cambria" w:eastAsia="Cambria" w:hAnsi="Cambria" w:cs="Cambria"/>
          <w:bCs/>
          <w:color w:val="000000"/>
          <w:sz w:val="20"/>
          <w:szCs w:val="20"/>
        </w:rPr>
        <w:t>(Slusser, 2019)</w:t>
      </w:r>
      <w:r w:rsidRPr="00A6117F">
        <w:rPr>
          <w:rFonts w:ascii="Cambria" w:eastAsia="Cambria" w:hAnsi="Cambria" w:cs="Cambria"/>
          <w:bCs/>
          <w:color w:val="000000"/>
          <w:sz w:val="20"/>
          <w:szCs w:val="20"/>
        </w:rPr>
        <w:fldChar w:fldCharType="end"/>
      </w:r>
      <w:r w:rsidRPr="00A6117F">
        <w:rPr>
          <w:rFonts w:ascii="Cambria" w:eastAsia="Cambria" w:hAnsi="Cambria" w:cs="Cambria"/>
          <w:bCs/>
          <w:color w:val="000000"/>
          <w:sz w:val="20"/>
          <w:szCs w:val="20"/>
        </w:rPr>
        <w:t xml:space="preserve"> which indicates that by understanding the sequence of numbers, they (students) will begin to realize the quantity of a number (stating larger or smaller) so that it can help students represent numbers easily and efficiently without recalculating. </w:t>
      </w:r>
    </w:p>
    <w:p w14:paraId="5F682F96" w14:textId="77777777" w:rsidR="00A6117F" w:rsidRPr="00A6117F" w:rsidRDefault="00A6117F" w:rsidP="00A6117F">
      <w:pPr>
        <w:spacing w:before="0" w:line="240" w:lineRule="auto"/>
        <w:ind w:firstLine="720"/>
        <w:rPr>
          <w:rFonts w:ascii="Cambria" w:eastAsia="Cambria" w:hAnsi="Cambria" w:cs="Cambria"/>
          <w:bCs/>
          <w:color w:val="000000"/>
          <w:sz w:val="20"/>
          <w:szCs w:val="20"/>
        </w:rPr>
      </w:pPr>
      <w:r w:rsidRPr="00A6117F">
        <w:rPr>
          <w:rFonts w:ascii="Cambria" w:eastAsia="Cambria" w:hAnsi="Cambria" w:cs="Cambria"/>
          <w:bCs/>
          <w:color w:val="000000"/>
          <w:sz w:val="20"/>
          <w:szCs w:val="20"/>
        </w:rPr>
        <w:t xml:space="preserve">The use of apperception at the beginning of learning plays an important role in ensuring children's readiness before participating in the core learning process </w:t>
      </w:r>
      <w:r w:rsidRPr="00A6117F">
        <w:rPr>
          <w:rFonts w:ascii="Cambria" w:eastAsia="Cambria" w:hAnsi="Cambria" w:cs="Cambria"/>
          <w:bCs/>
          <w:color w:val="000000"/>
          <w:sz w:val="20"/>
          <w:szCs w:val="20"/>
        </w:rPr>
        <w:fldChar w:fldCharType="begin" w:fldLock="1"/>
      </w:r>
      <w:r w:rsidRPr="00A6117F">
        <w:rPr>
          <w:rFonts w:ascii="Cambria" w:eastAsia="Cambria" w:hAnsi="Cambria" w:cs="Cambria"/>
          <w:bCs/>
          <w:color w:val="000000"/>
          <w:sz w:val="20"/>
          <w:szCs w:val="20"/>
        </w:rPr>
        <w:instrText>ADDIN CSL_CITATION {"citationItems":[{"id":"ITEM-1","itemData":{"DOI":"10.29407/dedikasi.v1i1.16065","abstract":"The problem parents experience today is being wise parents to introduce smartphones to children. This is what makes parents a dilemma to provide smartphone facilities to children or not. Because there are two influences that will arise when parents provide smartphone facilities to children. First, the positive effect is to support online learning activities, . The second effect is the negative effect, namely the child does not explore the physical environment, the child has difficulty interacting socially, the child gets emotional easily and the memory decline due to prolonged. In this service activity, there will be counseling to parents about how to wisely introduce smartphones to children. The target of this service is the parents of Al Amin Foundation Kindergarten Kediri and carried out on November 12, 2019. Material and assistance about wisely introducing smartphones to children can generate knowledge and insights to parents on how to wisely introduce smartphones to children. A wise way to introduce smartphones to children is to allocate time for children to play smartphones, make smartphones as learning tools containing educational applications, provide assistance to children when using smartphones, and be selective in choosing smartphones for children","author":[{"dropping-particle":"","family":"Saidah","given":"Karimatus","non-dropping-particle":"","parse-names":false,"suffix":""},{"dropping-particle":"","family":"Primasatya","given":"Nurita","non-dropping-particle":"","parse-names":false,"suffix":""},{"dropping-particle":"","family":"Mukmin","given":"Bagus Amirul","non-dropping-particle":"","parse-names":false,"suffix":""},{"dropping-particle":"","family":"Damayanti","given":"Susi","non-dropping-particle":"","parse-names":false,"suffix":""}],"container-title":"Dedikasi Nusantara: Jurnal Pengabdian Masyarakat Pendidikan Dasar","id":"ITEM-1","issue":"1","issued":{"date-parts":[["2021"]]},"page":"10-16","title":"Sosialisasi Peran Apersepsi Untuk Meningkatkan Kesiapan Belajar Anak Di Sanggar Genius Yayasan Yatim Mandiri Cabang Kediri","type":"article-journal","volume":"1"},"uris":["http://www.mendeley.com/documents/?uuid=1b73e89c-502f-421b-80dd-1e1fb1332459"]}],"mendeley":{"formattedCitation":"(Saidah et al., 2021)","plainTextFormattedCitation":"(Saidah et al., 2021)","previouslyFormattedCitation":"(Saidah et al., 2021)"},"properties":{"noteIndex":0},"schema":"https://github.com/citation-style-language/schema/raw/master/csl-citation.json"}</w:instrText>
      </w:r>
      <w:r w:rsidRPr="00A6117F">
        <w:rPr>
          <w:rFonts w:ascii="Cambria" w:eastAsia="Cambria" w:hAnsi="Cambria" w:cs="Cambria"/>
          <w:bCs/>
          <w:color w:val="000000"/>
          <w:sz w:val="20"/>
          <w:szCs w:val="20"/>
        </w:rPr>
        <w:fldChar w:fldCharType="separate"/>
      </w:r>
      <w:r w:rsidRPr="00A6117F">
        <w:rPr>
          <w:rFonts w:ascii="Cambria" w:eastAsia="Cambria" w:hAnsi="Cambria" w:cs="Cambria"/>
          <w:bCs/>
          <w:color w:val="000000"/>
          <w:sz w:val="20"/>
          <w:szCs w:val="20"/>
        </w:rPr>
        <w:t>(Saidah et al., 2021)</w:t>
      </w:r>
      <w:r w:rsidRPr="00A6117F">
        <w:rPr>
          <w:rFonts w:ascii="Cambria" w:eastAsia="Cambria" w:hAnsi="Cambria" w:cs="Cambria"/>
          <w:bCs/>
          <w:color w:val="000000"/>
          <w:sz w:val="20"/>
          <w:szCs w:val="20"/>
        </w:rPr>
        <w:fldChar w:fldCharType="end"/>
      </w:r>
      <w:r w:rsidRPr="00A6117F">
        <w:rPr>
          <w:rFonts w:ascii="Cambria" w:eastAsia="Cambria" w:hAnsi="Cambria" w:cs="Cambria"/>
          <w:bCs/>
          <w:color w:val="000000"/>
          <w:sz w:val="20"/>
          <w:szCs w:val="20"/>
        </w:rPr>
        <w:t xml:space="preserve">. The learning continued with the teacher providing practice problems on level 1 LKS that must be completed by students. Students work around the addition problems given individually or in discussion, students may discuss with friends as long </w:t>
      </w:r>
      <w:r w:rsidRPr="00A6117F">
        <w:rPr>
          <w:rFonts w:ascii="Cambria" w:eastAsia="Cambria" w:hAnsi="Cambria" w:cs="Cambria"/>
          <w:bCs/>
          <w:color w:val="000000"/>
          <w:sz w:val="20"/>
          <w:szCs w:val="20"/>
        </w:rPr>
        <w:lastRenderedPageBreak/>
        <w:t xml:space="preserve">as they understand what they are writing. Afterward, students came forward one by one to the teacher to highlight their work to get corrections and test their numeracy understanding based on indicators, besides that they were also asked to explain the path they took in finding answers to the exercise questions. At this stage, the teacher as a motivator and facilitator should be able to develop enthusiasm and interest and facilitate student’s learning needs </w:t>
      </w:r>
      <w:r w:rsidRPr="00A6117F">
        <w:rPr>
          <w:rFonts w:ascii="Cambria" w:eastAsia="Cambria" w:hAnsi="Cambria" w:cs="Cambria"/>
          <w:bCs/>
          <w:color w:val="000000"/>
          <w:sz w:val="20"/>
          <w:szCs w:val="20"/>
        </w:rPr>
        <w:fldChar w:fldCharType="begin" w:fldLock="1"/>
      </w:r>
      <w:r w:rsidRPr="00A6117F">
        <w:rPr>
          <w:rFonts w:ascii="Cambria" w:eastAsia="Cambria" w:hAnsi="Cambria" w:cs="Cambria"/>
          <w:bCs/>
          <w:color w:val="000000"/>
          <w:sz w:val="20"/>
          <w:szCs w:val="20"/>
        </w:rPr>
        <w:instrText>ADDIN CSL_CITATION {"citationItems":[{"id":"ITEM-1","itemData":{"DOI":"10.37286/ojs.v7i2.102","ISSN":"2442-3653","abstract":"Facilities and motivation in learning are very important. This study discusses the role of the teacher as a facilitator and motivator in the learning process of Islamic religious education. The purpose of this study was to determine the role of the teacher as a facilitator and motivator, and the inhibiting factors in its implementation. To get answers to the problems above, the authors conducted qualitative research. After analyzing the data obtained, the results showed the readiness of the teacher, namely: The teacher provides all learning tools before learning begins (such as syllabus, curriculum, lesson plans, evaluation materials and teaching materials). ), Teachers provide learning facilities in the form of methods, media, and learning equipment, Teachers as partners not superiors and teachers do not act arbitrarily to students, and teachers are able to understand students well and provide learning experiences that are appropriate for students and intrinsically motivating. All of this can be achieved through a good understanding of a teacher regarding teacher theory as a facilitator and motivator. All aspects of education, the family and community environment should be in line with and support the teacher's role as a facilitator and motivator so that it can be realized properly.","author":[{"dropping-particle":"","family":"Mustofa","given":"Ali","non-dropping-particle":"","parse-names":false,"suffix":""},{"dropping-particle":"","family":"Muadzin","given":"Arif","non-dropping-particle":"","parse-names":false,"suffix":""}],"container-title":"Jurnal Pendidikan Islam","id":"ITEM-1","issue":"2","issued":{"date-parts":[["2021"]]},"page":"171-186","title":"Konsepsi Peran Guru Sebagai Fasilitator dan Motivator Dalam Proses Pembelajaran Pendidikan Agama Islam","type":"article-journal","volume":"7"},"uris":["http://www.mendeley.com/documents/?uuid=3609fb5f-3ad9-4252-8a43-0ec090ed5153"]}],"mendeley":{"formattedCitation":"(Mustofa &amp; Muadzin, 2021)","plainTextFormattedCitation":"(Mustofa &amp; Muadzin, 2021)","previouslyFormattedCitation":"(Mustofa &amp; Muadzin, 2021)"},"properties":{"noteIndex":0},"schema":"https://github.com/citation-style-language/schema/raw/master/csl-citation.json"}</w:instrText>
      </w:r>
      <w:r w:rsidRPr="00A6117F">
        <w:rPr>
          <w:rFonts w:ascii="Cambria" w:eastAsia="Cambria" w:hAnsi="Cambria" w:cs="Cambria"/>
          <w:bCs/>
          <w:color w:val="000000"/>
          <w:sz w:val="20"/>
          <w:szCs w:val="20"/>
        </w:rPr>
        <w:fldChar w:fldCharType="separate"/>
      </w:r>
      <w:r w:rsidRPr="00A6117F">
        <w:rPr>
          <w:rFonts w:ascii="Cambria" w:eastAsia="Cambria" w:hAnsi="Cambria" w:cs="Cambria"/>
          <w:bCs/>
          <w:color w:val="000000"/>
          <w:sz w:val="20"/>
          <w:szCs w:val="20"/>
        </w:rPr>
        <w:t>(Mustofa &amp; Muadzin, 2021)</w:t>
      </w:r>
      <w:r w:rsidRPr="00A6117F">
        <w:rPr>
          <w:rFonts w:ascii="Cambria" w:eastAsia="Cambria" w:hAnsi="Cambria" w:cs="Cambria"/>
          <w:bCs/>
          <w:color w:val="000000"/>
          <w:sz w:val="20"/>
          <w:szCs w:val="20"/>
        </w:rPr>
        <w:fldChar w:fldCharType="end"/>
      </w:r>
      <w:r w:rsidRPr="00A6117F">
        <w:rPr>
          <w:rFonts w:ascii="Cambria" w:eastAsia="Cambria" w:hAnsi="Cambria" w:cs="Cambria"/>
          <w:bCs/>
          <w:color w:val="000000"/>
          <w:sz w:val="20"/>
          <w:szCs w:val="20"/>
        </w:rPr>
        <w:t xml:space="preserve">. Thereafter, the worksheet is returned to be corrected until it is completed. Completion means that when students are </w:t>
      </w:r>
      <w:proofErr w:type="gramStart"/>
      <w:r w:rsidRPr="00A6117F">
        <w:rPr>
          <w:rFonts w:ascii="Cambria" w:eastAsia="Cambria" w:hAnsi="Cambria" w:cs="Cambria"/>
          <w:bCs/>
          <w:color w:val="000000"/>
          <w:sz w:val="20"/>
          <w:szCs w:val="20"/>
        </w:rPr>
        <w:t>questioned</w:t>
      </w:r>
      <w:proofErr w:type="gramEnd"/>
      <w:r w:rsidRPr="00A6117F">
        <w:rPr>
          <w:rFonts w:ascii="Cambria" w:eastAsia="Cambria" w:hAnsi="Cambria" w:cs="Cambria"/>
          <w:bCs/>
          <w:color w:val="000000"/>
          <w:sz w:val="20"/>
          <w:szCs w:val="20"/>
        </w:rPr>
        <w:t xml:space="preserve"> they can answer correctly and there is no hesitation in providing answers. Then we move to the next level by adding a little complexity to the use of larger numbers. That way, the children don't feel too difficult or bored, because they are always at a level that suits their abilities. That way, each student can develop fully and achieve learning objectives completely and the learning carried out becomes meaningful </w:t>
      </w:r>
      <w:r w:rsidRPr="00A6117F">
        <w:rPr>
          <w:rFonts w:ascii="Cambria" w:eastAsia="Cambria" w:hAnsi="Cambria" w:cs="Cambria"/>
          <w:bCs/>
          <w:color w:val="000000"/>
          <w:sz w:val="20"/>
          <w:szCs w:val="20"/>
        </w:rPr>
        <w:fldChar w:fldCharType="begin" w:fldLock="1"/>
      </w:r>
      <w:r w:rsidRPr="00A6117F">
        <w:rPr>
          <w:rFonts w:ascii="Cambria" w:eastAsia="Cambria" w:hAnsi="Cambria" w:cs="Cambria"/>
          <w:bCs/>
          <w:color w:val="000000"/>
          <w:sz w:val="20"/>
          <w:szCs w:val="20"/>
        </w:rPr>
        <w:instrText>ADDIN CSL_CITATION {"citationItems":[{"id":"ITEM-1","itemData":{"author":[{"dropping-particle":"","family":"Mardani","given":"Alifta","non-dropping-particle":"","parse-names":false,"suffix":""},{"dropping-particle":"","family":"Sumaji","given":"","non-dropping-particle":"","parse-names":false,"suffix":""}],"id":"ITEM-1","issue":"3","issued":{"date-parts":[["2021"]]},"page":"2723-2732","title":"Remedial Siswa Melalui Met-Before Terhadap Pemahaman Materi Fungsi Komposisi Siswa Kelas X","type":"article-journal","volume":"05"},"uris":["http://www.mendeley.com/documents/?uuid=7fa5fccd-68db-412f-b89c-556c334f70c2"]}],"mendeley":{"formattedCitation":"(Mardani &amp; Sumaji, 2021)","plainTextFormattedCitation":"(Mardani &amp; Sumaji, 2021)","previouslyFormattedCitation":"(Mardani &amp; Sumaji, 2021)"},"properties":{"noteIndex":0},"schema":"https://github.com/citation-style-language/schema/raw/master/csl-citation.json"}</w:instrText>
      </w:r>
      <w:r w:rsidRPr="00A6117F">
        <w:rPr>
          <w:rFonts w:ascii="Cambria" w:eastAsia="Cambria" w:hAnsi="Cambria" w:cs="Cambria"/>
          <w:bCs/>
          <w:color w:val="000000"/>
          <w:sz w:val="20"/>
          <w:szCs w:val="20"/>
        </w:rPr>
        <w:fldChar w:fldCharType="separate"/>
      </w:r>
      <w:r w:rsidRPr="00A6117F">
        <w:rPr>
          <w:rFonts w:ascii="Cambria" w:eastAsia="Cambria" w:hAnsi="Cambria" w:cs="Cambria"/>
          <w:bCs/>
          <w:color w:val="000000"/>
          <w:sz w:val="20"/>
          <w:szCs w:val="20"/>
        </w:rPr>
        <w:t>(Mardani &amp; Sumaji, 2021)</w:t>
      </w:r>
      <w:r w:rsidRPr="00A6117F">
        <w:rPr>
          <w:rFonts w:ascii="Cambria" w:eastAsia="Cambria" w:hAnsi="Cambria" w:cs="Cambria"/>
          <w:bCs/>
          <w:color w:val="000000"/>
          <w:sz w:val="20"/>
          <w:szCs w:val="20"/>
        </w:rPr>
        <w:fldChar w:fldCharType="end"/>
      </w:r>
      <w:r w:rsidRPr="00A6117F">
        <w:rPr>
          <w:rFonts w:ascii="Cambria" w:eastAsia="Cambria" w:hAnsi="Cambria" w:cs="Cambria"/>
          <w:bCs/>
          <w:color w:val="000000"/>
          <w:sz w:val="20"/>
          <w:szCs w:val="20"/>
        </w:rPr>
        <w:t xml:space="preserve">. Meaningful learning will cultivate a strong and deep impression on students so that it can help improve student’s understanding of concepts and learning experiences </w:t>
      </w:r>
      <w:r w:rsidRPr="00A6117F">
        <w:rPr>
          <w:rFonts w:ascii="Cambria" w:eastAsia="Cambria" w:hAnsi="Cambria" w:cs="Cambria"/>
          <w:bCs/>
          <w:color w:val="000000"/>
          <w:sz w:val="20"/>
          <w:szCs w:val="20"/>
        </w:rPr>
        <w:fldChar w:fldCharType="begin" w:fldLock="1"/>
      </w:r>
      <w:r w:rsidRPr="00A6117F">
        <w:rPr>
          <w:rFonts w:ascii="Cambria" w:eastAsia="Cambria" w:hAnsi="Cambria" w:cs="Cambria"/>
          <w:bCs/>
          <w:color w:val="000000"/>
          <w:sz w:val="20"/>
          <w:szCs w:val="20"/>
        </w:rPr>
        <w:instrText>ADDIN CSL_CITATION {"citationItems":[{"id":"ITEM-1","itemData":{"DOI":"10.30862/jri.v2i1.41","abstract":"This work aims to analyze and explain the didactic strategies used to achieve meaningful learning. The problem addressed here is the need to change traditional didactic teaching in higher education programs toward more meaningful learning-oriented approaches. It begins under the assumption that meaningful learning is created if students are given freedom and confidence, they can find their own answers and developing their knowledge, both in the classroom and in practical life. The method used is the analytical-descriptive one of the reviews of the literature of the main authors who have given rise to this approach, its elements and the didactic strategies used. The result of the analysis shows the need to move from traditional didact teaching in higher education programs toward more meaningful learning-oriented strategies. It is concluded that the design and implementation of didactic strategies focused on meaningful learning with the application of active didactic methodologies and strategies in meaningful learning processes depending on the context in which it takes place, obtains better results in the training of professionals. It is recommended that teaching in higher education should abandon traditional didactics and embrace more meaningful oriented teaching strategies.","author":[{"dropping-particle":"","family":"Vargas-Hernández","given":"José G.","non-dropping-particle":"","parse-names":false,"suffix":""},{"dropping-particle":"","family":"Vargas-González","given":"Omar C.","non-dropping-particle":"","parse-names":false,"suffix":""}],"container-title":"Journal of Research in Instructional","id":"ITEM-1","issue":"1","issued":{"date-parts":[["2022"]]},"page":"47-64","title":"Strategies for meaningful learning in higher education","type":"article-journal","volume":"2"},"uris":["http://www.mendeley.com/documents/?uuid=df87a895-c059-43d2-90f8-284b020a8569"]}],"mendeley":{"formattedCitation":"(Vargas-Hernández &amp; Vargas-González, 2022)","plainTextFormattedCitation":"(Vargas-Hernández &amp; Vargas-González, 2022)","previouslyFormattedCitation":"(Vargas-Hernández &amp; Vargas-González, 2022)"},"properties":{"noteIndex":0},"schema":"https://github.com/citation-style-language/schema/raw/master/csl-citation.json"}</w:instrText>
      </w:r>
      <w:r w:rsidRPr="00A6117F">
        <w:rPr>
          <w:rFonts w:ascii="Cambria" w:eastAsia="Cambria" w:hAnsi="Cambria" w:cs="Cambria"/>
          <w:bCs/>
          <w:color w:val="000000"/>
          <w:sz w:val="20"/>
          <w:szCs w:val="20"/>
        </w:rPr>
        <w:fldChar w:fldCharType="separate"/>
      </w:r>
      <w:r w:rsidRPr="00A6117F">
        <w:rPr>
          <w:rFonts w:ascii="Cambria" w:eastAsia="Cambria" w:hAnsi="Cambria" w:cs="Cambria"/>
          <w:bCs/>
          <w:color w:val="000000"/>
          <w:sz w:val="20"/>
          <w:szCs w:val="20"/>
        </w:rPr>
        <w:t>(Vargas-Hernández &amp; Vargas-González, 2022)</w:t>
      </w:r>
      <w:r w:rsidRPr="00A6117F">
        <w:rPr>
          <w:rFonts w:ascii="Cambria" w:eastAsia="Cambria" w:hAnsi="Cambria" w:cs="Cambria"/>
          <w:bCs/>
          <w:color w:val="000000"/>
          <w:sz w:val="20"/>
          <w:szCs w:val="20"/>
        </w:rPr>
        <w:fldChar w:fldCharType="end"/>
      </w:r>
      <w:r w:rsidRPr="00A6117F">
        <w:rPr>
          <w:rFonts w:ascii="Cambria" w:eastAsia="Cambria" w:hAnsi="Cambria" w:cs="Cambria"/>
          <w:bCs/>
          <w:color w:val="000000"/>
          <w:sz w:val="20"/>
          <w:szCs w:val="20"/>
        </w:rPr>
        <w:t xml:space="preserve">. Pembelajaran diakhiri dengan refleksi apa yang telah dilalui dan mengulas beberapa topik pembahasan secara singkat. </w:t>
      </w:r>
    </w:p>
    <w:p w14:paraId="3AF677D1" w14:textId="77777777" w:rsidR="00A6117F" w:rsidRPr="00A6117F" w:rsidRDefault="00A6117F" w:rsidP="00A6117F">
      <w:pPr>
        <w:spacing w:before="0" w:line="240" w:lineRule="auto"/>
        <w:ind w:firstLine="720"/>
        <w:rPr>
          <w:rFonts w:ascii="Cambria" w:eastAsia="Cambria" w:hAnsi="Cambria" w:cs="Cambria"/>
          <w:bCs/>
          <w:color w:val="000000"/>
          <w:sz w:val="20"/>
          <w:szCs w:val="20"/>
        </w:rPr>
      </w:pPr>
      <w:r w:rsidRPr="00A6117F">
        <w:rPr>
          <w:rFonts w:ascii="Cambria" w:eastAsia="Cambria" w:hAnsi="Cambria" w:cs="Cambria"/>
          <w:bCs/>
          <w:color w:val="000000"/>
          <w:sz w:val="20"/>
          <w:szCs w:val="20"/>
        </w:rPr>
        <w:t xml:space="preserve">Learning ends with a reflection on what has been passed and a briefly reviewing several topics of discussion. Overall, it can be concluded that the sorogan method assisted by Graded LKS is able to stimulate student’s counting skills well, this also makes students unfocus on learning temporarily distracted. The results of this study are reinforced by previous research which also shows positive results after being applied in learning, where the Sorogan method can create a conducive learning atmosphere and show an increase in learning outcomes that are quite good </w:t>
      </w:r>
      <w:r w:rsidRPr="00A6117F">
        <w:rPr>
          <w:rFonts w:ascii="Cambria" w:eastAsia="Cambria" w:hAnsi="Cambria" w:cs="Cambria"/>
          <w:bCs/>
          <w:color w:val="000000"/>
          <w:sz w:val="20"/>
          <w:szCs w:val="20"/>
        </w:rPr>
        <w:fldChar w:fldCharType="begin" w:fldLock="1"/>
      </w:r>
      <w:r w:rsidRPr="00A6117F">
        <w:rPr>
          <w:rFonts w:ascii="Cambria" w:eastAsia="Cambria" w:hAnsi="Cambria" w:cs="Cambria"/>
          <w:bCs/>
          <w:color w:val="000000"/>
          <w:sz w:val="20"/>
          <w:szCs w:val="20"/>
        </w:rPr>
        <w:instrText>ADDIN CSL_CITATION {"citationItems":[{"id":"ITEM-1","itemData":{"author":[{"dropping-particle":"","family":"Fahridiana","given":"Yusna","non-dropping-particle":"","parse-names":false,"suffix":""}],"id":"ITEM-1","issued":{"date-parts":[["2018"]]},"number-of-pages":"1-104","publisher":"Institut Agama Islam Negeri Ponorogo","title":"Penggunaan Metode Kuis Dan Sorogan Dalam Meningkatkan Iklim Belajar Yang Kondusif (Studi Kasus di Madrasah Diniyah An-Nur Ngabar Siman Ponorogo Tahun Pelajaran 2017/2018)","type":"thesis"},"uris":["http://www.mendeley.com/documents/?uuid=d9a71a0c-d103-480b-88a0-4a84e1e96e6a"]}],"mendeley":{"formattedCitation":"(Fahridiana, 2018)","plainTextFormattedCitation":"(Fahridiana, 2018)","previouslyFormattedCitation":"(Fahridiana, 2018)"},"properties":{"noteIndex":0},"schema":"https://github.com/citation-style-language/schema/raw/master/csl-citation.json"}</w:instrText>
      </w:r>
      <w:r w:rsidRPr="00A6117F">
        <w:rPr>
          <w:rFonts w:ascii="Cambria" w:eastAsia="Cambria" w:hAnsi="Cambria" w:cs="Cambria"/>
          <w:bCs/>
          <w:color w:val="000000"/>
          <w:sz w:val="20"/>
          <w:szCs w:val="20"/>
        </w:rPr>
        <w:fldChar w:fldCharType="separate"/>
      </w:r>
      <w:r w:rsidRPr="00A6117F">
        <w:rPr>
          <w:rFonts w:ascii="Cambria" w:eastAsia="Cambria" w:hAnsi="Cambria" w:cs="Cambria"/>
          <w:bCs/>
          <w:color w:val="000000"/>
          <w:sz w:val="20"/>
          <w:szCs w:val="20"/>
        </w:rPr>
        <w:t>(Fahridiana, 2018)</w:t>
      </w:r>
      <w:r w:rsidRPr="00A6117F">
        <w:rPr>
          <w:rFonts w:ascii="Cambria" w:eastAsia="Cambria" w:hAnsi="Cambria" w:cs="Cambria"/>
          <w:bCs/>
          <w:color w:val="000000"/>
          <w:sz w:val="20"/>
          <w:szCs w:val="20"/>
        </w:rPr>
        <w:fldChar w:fldCharType="end"/>
      </w:r>
      <w:r w:rsidRPr="00A6117F">
        <w:rPr>
          <w:rFonts w:ascii="Cambria" w:eastAsia="Cambria" w:hAnsi="Cambria" w:cs="Cambria"/>
          <w:bCs/>
          <w:color w:val="000000"/>
          <w:sz w:val="20"/>
          <w:szCs w:val="20"/>
        </w:rPr>
        <w:t>.</w:t>
      </w:r>
    </w:p>
    <w:p w14:paraId="1C5F5D1A" w14:textId="77777777" w:rsidR="00A6117F" w:rsidRPr="00A6117F" w:rsidRDefault="00A6117F" w:rsidP="00A6117F">
      <w:pPr>
        <w:spacing w:before="0" w:line="240" w:lineRule="auto"/>
        <w:ind w:firstLine="720"/>
        <w:rPr>
          <w:rFonts w:ascii="Cambria" w:eastAsia="Cambria" w:hAnsi="Cambria" w:cs="Cambria"/>
          <w:bCs/>
          <w:color w:val="000000"/>
          <w:sz w:val="20"/>
          <w:szCs w:val="20"/>
        </w:rPr>
      </w:pPr>
      <w:r w:rsidRPr="00A6117F">
        <w:rPr>
          <w:rFonts w:ascii="Cambria" w:eastAsia="Cambria" w:hAnsi="Cambria" w:cs="Cambria"/>
          <w:bCs/>
          <w:color w:val="000000"/>
          <w:sz w:val="20"/>
          <w:szCs w:val="20"/>
        </w:rPr>
        <w:t xml:space="preserve">The counting skill indicators that are the focus of this research include key aspects such as the ability to count, identify numbers, determine the result of addition, decompose numbers, and apply counting operations in the context of everyday life. The importance of this indicator is related to its role in supporting students in solving math problems related to addition and subtraction. Each meeting in the study showed great improvement on the numeracy indicator. This research provides results that are consistent with previous findings, such as those expressed in </w:t>
      </w:r>
      <w:r w:rsidRPr="00A6117F">
        <w:rPr>
          <w:rFonts w:ascii="Cambria" w:eastAsia="Cambria" w:hAnsi="Cambria" w:cs="Cambria"/>
          <w:bCs/>
          <w:color w:val="000000"/>
          <w:sz w:val="20"/>
          <w:szCs w:val="20"/>
        </w:rPr>
        <w:fldChar w:fldCharType="begin" w:fldLock="1"/>
      </w:r>
      <w:r w:rsidRPr="00A6117F">
        <w:rPr>
          <w:rFonts w:ascii="Cambria" w:eastAsia="Cambria" w:hAnsi="Cambria" w:cs="Cambria"/>
          <w:bCs/>
          <w:color w:val="000000"/>
          <w:sz w:val="20"/>
          <w:szCs w:val="20"/>
        </w:rPr>
        <w:instrText>ADDIN CSL_CITATION {"citationItems":[{"id":"ITEM-1","itemData":{"author":[{"dropping-particle":"","family":"Susdarwono","given":"Endro Tri","non-dropping-particle":"","parse-names":false,"suffix":""}],"container-title":"Jurnal Pembelajaran Dan Matematika Sigma (Jpms)","id":"ITEM-1","issue":"2","issued":{"date-parts":[["2020"]]},"page":"72-84","title":"Penguasaan 4 (Empat) Prasyarat Dasar Aritmatika Untuk Meningkatkan Kemampuan Siswa Sekolah Dasar Dalam Menyelesaikan Soal Matematika","type":"article-journal","volume":"6"},"uris":["http://www.mendeley.com/documents/?uuid=61f7d3c3-0627-4500-b1d3-eda85c7099dc"]}],"mendeley":{"formattedCitation":"(Susdarwono, 2020)","plainTextFormattedCitation":"(Susdarwono, 2020)","previouslyFormattedCitation":"(Susdarwono, 2020)"},"properties":{"noteIndex":0},"schema":"https://github.com/citation-style-language/schema/raw/master/csl-citation.json"}</w:instrText>
      </w:r>
      <w:r w:rsidRPr="00A6117F">
        <w:rPr>
          <w:rFonts w:ascii="Cambria" w:eastAsia="Cambria" w:hAnsi="Cambria" w:cs="Cambria"/>
          <w:bCs/>
          <w:color w:val="000000"/>
          <w:sz w:val="20"/>
          <w:szCs w:val="20"/>
        </w:rPr>
        <w:fldChar w:fldCharType="separate"/>
      </w:r>
      <w:r w:rsidRPr="00A6117F">
        <w:rPr>
          <w:rFonts w:ascii="Cambria" w:eastAsia="Cambria" w:hAnsi="Cambria" w:cs="Cambria"/>
          <w:bCs/>
          <w:color w:val="000000"/>
          <w:sz w:val="20"/>
          <w:szCs w:val="20"/>
        </w:rPr>
        <w:t>(Susdarwono, 2020)</w:t>
      </w:r>
      <w:r w:rsidRPr="00A6117F">
        <w:rPr>
          <w:rFonts w:ascii="Cambria" w:eastAsia="Cambria" w:hAnsi="Cambria" w:cs="Cambria"/>
          <w:bCs/>
          <w:color w:val="000000"/>
          <w:sz w:val="20"/>
          <w:szCs w:val="20"/>
        </w:rPr>
        <w:fldChar w:fldCharType="end"/>
      </w:r>
      <w:r w:rsidRPr="00A6117F">
        <w:rPr>
          <w:rFonts w:ascii="Cambria" w:eastAsia="Cambria" w:hAnsi="Cambria" w:cs="Cambria"/>
          <w:bCs/>
          <w:color w:val="000000"/>
          <w:sz w:val="20"/>
          <w:szCs w:val="20"/>
        </w:rPr>
        <w:t xml:space="preserve"> which state that the level of student’s abilities in terms of counting, multiples of numbers, and determining the complement (decomposition) of numbers is positively correlated with student’s ability to handle mathematical problems involving various operations, such as addition, subtraction, multiplication, and division. The application of the sorogan method with the help of the Graded Student Worksheet (LKS) has proven to be a factor that plays an important role in providing stimulation to student’s counting skills. This approach not only provides space for students to develop counting skills contextually but also encourages student’s active involvement in the learning process </w:t>
      </w:r>
      <w:r w:rsidRPr="00A6117F">
        <w:rPr>
          <w:rFonts w:ascii="Cambria" w:eastAsia="Cambria" w:hAnsi="Cambria" w:cs="Cambria"/>
          <w:bCs/>
          <w:color w:val="000000"/>
          <w:sz w:val="20"/>
          <w:szCs w:val="20"/>
        </w:rPr>
        <w:fldChar w:fldCharType="begin" w:fldLock="1"/>
      </w:r>
      <w:r w:rsidRPr="00A6117F">
        <w:rPr>
          <w:rFonts w:ascii="Cambria" w:eastAsia="Cambria" w:hAnsi="Cambria" w:cs="Cambria"/>
          <w:bCs/>
          <w:color w:val="000000"/>
          <w:sz w:val="20"/>
          <w:szCs w:val="20"/>
        </w:rPr>
        <w:instrText>ADDIN CSL_CITATION {"citationItems":[{"id":"ITEM-1","itemData":{"DOI":"10.2991/snk-19.2019.49","ISBN":"978-94-6252-877-2","ISSN":"2590-3195","author":[{"dropping-particle":"","family":"Rinaningsih","given":"Rinaningsih","non-dropping-particle":"","parse-names":false,"suffix":""},{"dropping-particle":"","family":"Kadarohman","given":"Asep","non-dropping-particle":"","parse-names":false,"suffix":""},{"dropping-particle":"","family":"Firman","given":"Harry","non-dropping-particle":"","parse-names":false,"suffix":""}],"container-title":"Proceedings of the National Seminar on Chemistry 2019 (SNK-19)","id":"ITEM-1","issued":{"date-parts":[["2019"]]},"page":"109-111","publisher":"Atlantis Press","title":"The Sorogan-Bandongan Model as Active Learning Model in Indonesia","type":"paper-conference"},"uris":["http://www.mendeley.com/documents/?uuid=618e5c7a-4572-48a3-a8a7-e3d2b5b8a059"]}],"mendeley":{"formattedCitation":"(Rinaningsih et al., 2019)","plainTextFormattedCitation":"(Rinaningsih et al., 2019)","previouslyFormattedCitation":"(Rinaningsih et al., 2019)"},"properties":{"noteIndex":0},"schema":"https://github.com/citation-style-language/schema/raw/master/csl-citation.json"}</w:instrText>
      </w:r>
      <w:r w:rsidRPr="00A6117F">
        <w:rPr>
          <w:rFonts w:ascii="Cambria" w:eastAsia="Cambria" w:hAnsi="Cambria" w:cs="Cambria"/>
          <w:bCs/>
          <w:color w:val="000000"/>
          <w:sz w:val="20"/>
          <w:szCs w:val="20"/>
        </w:rPr>
        <w:fldChar w:fldCharType="separate"/>
      </w:r>
      <w:r w:rsidRPr="00A6117F">
        <w:rPr>
          <w:rFonts w:ascii="Cambria" w:eastAsia="Cambria" w:hAnsi="Cambria" w:cs="Cambria"/>
          <w:bCs/>
          <w:color w:val="000000"/>
          <w:sz w:val="20"/>
          <w:szCs w:val="20"/>
        </w:rPr>
        <w:t>(Rinaningsih et al., 2019)</w:t>
      </w:r>
      <w:r w:rsidRPr="00A6117F">
        <w:rPr>
          <w:rFonts w:ascii="Cambria" w:eastAsia="Cambria" w:hAnsi="Cambria" w:cs="Cambria"/>
          <w:bCs/>
          <w:color w:val="000000"/>
          <w:sz w:val="20"/>
          <w:szCs w:val="20"/>
        </w:rPr>
        <w:fldChar w:fldCharType="end"/>
      </w:r>
      <w:r w:rsidRPr="00A6117F">
        <w:rPr>
          <w:rFonts w:ascii="Cambria" w:eastAsia="Cambria" w:hAnsi="Cambria" w:cs="Cambria"/>
          <w:bCs/>
          <w:color w:val="000000"/>
          <w:sz w:val="20"/>
          <w:szCs w:val="20"/>
        </w:rPr>
        <w:t xml:space="preserve">. A student-centered learning process that considers the important aspects of numeracy indicators can form a strong foundation for the continuous development of student’s skills </w:t>
      </w:r>
      <w:r w:rsidRPr="00A6117F">
        <w:rPr>
          <w:rFonts w:ascii="Cambria" w:eastAsia="Cambria" w:hAnsi="Cambria" w:cs="Cambria"/>
          <w:bCs/>
          <w:color w:val="000000"/>
          <w:sz w:val="20"/>
          <w:szCs w:val="20"/>
        </w:rPr>
        <w:fldChar w:fldCharType="begin" w:fldLock="1"/>
      </w:r>
      <w:r w:rsidRPr="00A6117F">
        <w:rPr>
          <w:rFonts w:ascii="Cambria" w:eastAsia="Cambria" w:hAnsi="Cambria" w:cs="Cambria"/>
          <w:bCs/>
          <w:color w:val="000000"/>
          <w:sz w:val="20"/>
          <w:szCs w:val="20"/>
        </w:rPr>
        <w:instrText>ADDIN CSL_CITATION {"citationItems":[{"id":"ITEM-1","itemData":{"ISBN":"9786233622578","abstract":"Predicting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approach.","author":[{"dropping-particle":"","family":"Pangabean","given":"Suvriadi","non-dropping-particle":"","parse-names":false,"suffix":""},{"dropping-particle":"","family":"Lisnasari","given":"Srie Faizah","non-dropping-particle":"","parse-names":false,"suffix":""},{"dropping-particle":"","family":"Puspitasari","given":"Ika","non-dropping-particle":"","parse-names":false,"suffix":""},{"dropping-particle":"","family":"Basuki","given":"Listari","non-dropping-particle":"","parse-names":false,"suffix":""},{"dropping-particle":"","family":"Fuadi","given":"Ahmad","non-dropping-particle":"","parse-names":false,"suffix":""},{"dropping-particle":"","family":"Firmansyah","given":"Hamdan","non-dropping-particle":"","parse-names":false,"suffix":""}],"container-title":"Media Sains Indonesia","id":"ITEM-1","issued":{"date-parts":[["2021"]]},"number-of-pages":"1-239","title":"Sistem Student Center Learning Dan Teacher Center Learning","type":"book"},"uris":["http://www.mendeley.com/documents/?uuid=66888c23-69e0-4a9e-a34e-056b694db3da"]}],"mendeley":{"formattedCitation":"(Pangabean et al., 2021)","plainTextFormattedCitation":"(Pangabean et al., 2021)","previouslyFormattedCitation":"(Pangabean et al., 2021)"},"properties":{"noteIndex":0},"schema":"https://github.com/citation-style-language/schema/raw/master/csl-citation.json"}</w:instrText>
      </w:r>
      <w:r w:rsidRPr="00A6117F">
        <w:rPr>
          <w:rFonts w:ascii="Cambria" w:eastAsia="Cambria" w:hAnsi="Cambria" w:cs="Cambria"/>
          <w:bCs/>
          <w:color w:val="000000"/>
          <w:sz w:val="20"/>
          <w:szCs w:val="20"/>
        </w:rPr>
        <w:fldChar w:fldCharType="separate"/>
      </w:r>
      <w:r w:rsidRPr="00A6117F">
        <w:rPr>
          <w:rFonts w:ascii="Cambria" w:eastAsia="Cambria" w:hAnsi="Cambria" w:cs="Cambria"/>
          <w:bCs/>
          <w:color w:val="000000"/>
          <w:sz w:val="20"/>
          <w:szCs w:val="20"/>
        </w:rPr>
        <w:t>(Pangabean et al., 2021)</w:t>
      </w:r>
      <w:r w:rsidRPr="00A6117F">
        <w:rPr>
          <w:rFonts w:ascii="Cambria" w:eastAsia="Cambria" w:hAnsi="Cambria" w:cs="Cambria"/>
          <w:bCs/>
          <w:color w:val="000000"/>
          <w:sz w:val="20"/>
          <w:szCs w:val="20"/>
        </w:rPr>
        <w:fldChar w:fldCharType="end"/>
      </w:r>
      <w:r w:rsidRPr="00A6117F">
        <w:rPr>
          <w:rFonts w:ascii="Cambria" w:eastAsia="Cambria" w:hAnsi="Cambria" w:cs="Cambria"/>
          <w:bCs/>
          <w:color w:val="000000"/>
          <w:sz w:val="20"/>
          <w:szCs w:val="20"/>
        </w:rPr>
        <w:t>.</w:t>
      </w:r>
    </w:p>
    <w:p w14:paraId="11836F90" w14:textId="77777777" w:rsidR="00A6117F" w:rsidRPr="00A6117F" w:rsidRDefault="00A6117F" w:rsidP="00A6117F">
      <w:pPr>
        <w:spacing w:before="0" w:line="240" w:lineRule="auto"/>
        <w:ind w:firstLine="720"/>
        <w:rPr>
          <w:rFonts w:ascii="Cambria" w:eastAsia="Cambria" w:hAnsi="Cambria" w:cs="Cambria"/>
          <w:bCs/>
          <w:color w:val="000000"/>
          <w:sz w:val="20"/>
          <w:szCs w:val="20"/>
        </w:rPr>
      </w:pPr>
      <w:r w:rsidRPr="00A6117F">
        <w:rPr>
          <w:rFonts w:ascii="Cambria" w:eastAsia="Cambria" w:hAnsi="Cambria" w:cs="Cambria"/>
          <w:bCs/>
          <w:color w:val="000000"/>
          <w:sz w:val="20"/>
          <w:szCs w:val="20"/>
        </w:rPr>
        <w:t xml:space="preserve">The use of the sorogan method in the learning process is an approach that emphasizes the development of individual abilities </w:t>
      </w:r>
      <w:r w:rsidRPr="00A6117F">
        <w:rPr>
          <w:rFonts w:ascii="Cambria" w:eastAsia="Cambria" w:hAnsi="Cambria" w:cs="Cambria"/>
          <w:bCs/>
          <w:color w:val="000000"/>
          <w:sz w:val="20"/>
          <w:szCs w:val="20"/>
        </w:rPr>
        <w:fldChar w:fldCharType="begin" w:fldLock="1"/>
      </w:r>
      <w:r w:rsidRPr="00A6117F">
        <w:rPr>
          <w:rFonts w:ascii="Cambria" w:eastAsia="Cambria" w:hAnsi="Cambria" w:cs="Cambria"/>
          <w:bCs/>
          <w:color w:val="000000"/>
          <w:sz w:val="20"/>
          <w:szCs w:val="20"/>
        </w:rPr>
        <w:instrText>ADDIN CSL_CITATION {"citationItems":[{"id":"ITEM-1","itemData":{"DOI":"10.31004/cendekia.v4i2.281","ISSN":"2614-3038","abstract":"Penelitian ini bertujuan untuk mendeskripsikan hasil refleksi pembelajaran matematika siswa kelas X di SMK Muhammadiyah 1 Ponorogo. Hal ini dilakukan untuk mengetahui lebih detail gambaran pembelajaran matematika yang telah dilakukan. Penelitian ini dilakukan karena dari hasil observasi dan diskusi dengan guru matematika bersama kepala sekolah, pembelajaran matematika di SMK khususnya, dipandang sebelah mata oleh siswa, karena progres ke depan hanyalah bekerja, sehingga eksistensi belajar tidak diperhatikan dan keaktifan siswa perlu diperhatikan. Dengan demikian, perlu adanya desain pembelajaran yang lebih menarik dan memberikan perlakuan lebih kepada siswa. Metode penelitian ini adalah penelitian deskriptif kualitatif. Subjek Penelitian ini adalah 25 siswa kelas X jurusan teknik sepeda motor. Materi Hasil penelitian ini menunjukkan bahwa dengan menggunakan metode pembelajaran discovery learning, sorogan, dan berbantuan media video berbasis power point mampu menimbulkan keaktifan, semangat belajar dalam diri siswa, dan mengasah kemampuan konsep siswa. Hal ini ditunjukkan dari siswa lebih antusias mengikuti pembelajaran matematika dengan baik, menyelesaikan soal dengan tuntas, dan mampu mengasah kemampuan konsep matematikanya. Hal ini dapat terjadi karena siswa diikutsertakan (aktif) dalam pembelajaran. Keaktifan siswa meningkat menjadi 80% siswa karena dilibatkan dalam pembelajaran.","author":[{"dropping-particle":"","family":"Sumaji","given":"Sumaji","non-dropping-particle":"","parse-names":false,"suffix":""},{"dropping-particle":"","family":"Wahyudi","given":"Wahyudi","non-dropping-particle":"","parse-names":false,"suffix":""}],"container-title":"Jurnal Cendekia : Jurnal Pendidikan Matematika","id":"ITEM-1","issue":"2","issued":{"date-parts":[["2020"]]},"page":"746-755","title":"Refleksi Pembelajaran Matematika SMK Muhammadiyah 1 Ponorogo Pada Materi Persamaan dan Pertidaksamaan Linear Mutlak","type":"article-journal","volume":"4"},"uris":["http://www.mendeley.com/documents/?uuid=902957a2-318b-4f91-bee1-8aa4a7bddbc7"]}],"mendeley":{"formattedCitation":"(Sumaji &amp; Wahyudi, 2020)","plainTextFormattedCitation":"(Sumaji &amp; Wahyudi, 2020)","previouslyFormattedCitation":"(Sumaji &amp; Wahyudi, 2020)"},"properties":{"noteIndex":0},"schema":"https://github.com/citation-style-language/schema/raw/master/csl-citation.json"}</w:instrText>
      </w:r>
      <w:r w:rsidRPr="00A6117F">
        <w:rPr>
          <w:rFonts w:ascii="Cambria" w:eastAsia="Cambria" w:hAnsi="Cambria" w:cs="Cambria"/>
          <w:bCs/>
          <w:color w:val="000000"/>
          <w:sz w:val="20"/>
          <w:szCs w:val="20"/>
        </w:rPr>
        <w:fldChar w:fldCharType="separate"/>
      </w:r>
      <w:r w:rsidRPr="00A6117F">
        <w:rPr>
          <w:rFonts w:ascii="Cambria" w:eastAsia="Cambria" w:hAnsi="Cambria" w:cs="Cambria"/>
          <w:bCs/>
          <w:color w:val="000000"/>
          <w:sz w:val="20"/>
          <w:szCs w:val="20"/>
        </w:rPr>
        <w:t>(Sumaji &amp; Wahyudi, 2020)</w:t>
      </w:r>
      <w:r w:rsidRPr="00A6117F">
        <w:rPr>
          <w:rFonts w:ascii="Cambria" w:eastAsia="Cambria" w:hAnsi="Cambria" w:cs="Cambria"/>
          <w:bCs/>
          <w:color w:val="000000"/>
          <w:sz w:val="20"/>
          <w:szCs w:val="20"/>
        </w:rPr>
        <w:fldChar w:fldCharType="end"/>
      </w:r>
      <w:r w:rsidRPr="00A6117F">
        <w:rPr>
          <w:rFonts w:ascii="Cambria" w:eastAsia="Cambria" w:hAnsi="Cambria" w:cs="Cambria"/>
          <w:bCs/>
          <w:color w:val="000000"/>
          <w:sz w:val="20"/>
          <w:szCs w:val="20"/>
        </w:rPr>
        <w:t xml:space="preserve">. This is implemented by teachers as an effort to enhance student accountability so that they are able to be responsible for their answers. The importance of the individuality aspect in the sorogan method in this study can be seen from giving responsibility to students in understanding the flow of numeracy concepts. Students serve not only as passive recipients of information but also as active agents in the learning process. That way, the learning process is no longer just a transfer of information words from the teacher as it happens when using the lecture method, but becomes a personal experience that enriches the understanding of each student. Through this method, students are also invited to involve themselves in discussions, exchange ideas, and help each other. That way, each student can develop fully and achieve learning objectives completely and the learning carried out becomes meaningful </w:t>
      </w:r>
      <w:r w:rsidRPr="00A6117F">
        <w:rPr>
          <w:rFonts w:ascii="Cambria" w:eastAsia="Cambria" w:hAnsi="Cambria" w:cs="Cambria"/>
          <w:bCs/>
          <w:color w:val="000000"/>
          <w:sz w:val="20"/>
          <w:szCs w:val="20"/>
        </w:rPr>
        <w:fldChar w:fldCharType="begin" w:fldLock="1"/>
      </w:r>
      <w:r w:rsidRPr="00A6117F">
        <w:rPr>
          <w:rFonts w:ascii="Cambria" w:eastAsia="Cambria" w:hAnsi="Cambria" w:cs="Cambria"/>
          <w:bCs/>
          <w:color w:val="000000"/>
          <w:sz w:val="20"/>
          <w:szCs w:val="20"/>
        </w:rPr>
        <w:instrText>ADDIN CSL_CITATION {"citationItems":[{"id":"ITEM-1","itemData":{"author":[{"dropping-particle":"","family":"Mardani","given":"Alifta","non-dropping-particle":"","parse-names":false,"suffix":""},{"dropping-particle":"","family":"Sumaji","given":"","non-dropping-particle":"","parse-names":false,"suffix":""}],"id":"ITEM-1","issue":"3","issued":{"date-parts":[["2021"]]},"page":"2723-2732","title":"Remedial Siswa Melalui Met-Before Terhadap Pemahaman Materi Fungsi Komposisi Siswa Kelas X","type":"article-journal","volume":"05"},"uris":["http://www.mendeley.com/documents/?uuid=7fa5fccd-68db-412f-b89c-556c334f70c2"]}],"mendeley":{"formattedCitation":"(Mardani &amp; Sumaji, 2021)","plainTextFormattedCitation":"(Mardani &amp; Sumaji, 2021)","previouslyFormattedCitation":"(Mardani &amp; Sumaji, 2021)"},"properties":{"noteIndex":0},"schema":"https://github.com/citation-style-language/schema/raw/master/csl-citation.json"}</w:instrText>
      </w:r>
      <w:r w:rsidRPr="00A6117F">
        <w:rPr>
          <w:rFonts w:ascii="Cambria" w:eastAsia="Cambria" w:hAnsi="Cambria" w:cs="Cambria"/>
          <w:bCs/>
          <w:color w:val="000000"/>
          <w:sz w:val="20"/>
          <w:szCs w:val="20"/>
        </w:rPr>
        <w:fldChar w:fldCharType="separate"/>
      </w:r>
      <w:r w:rsidRPr="00A6117F">
        <w:rPr>
          <w:rFonts w:ascii="Cambria" w:eastAsia="Cambria" w:hAnsi="Cambria" w:cs="Cambria"/>
          <w:bCs/>
          <w:color w:val="000000"/>
          <w:sz w:val="20"/>
          <w:szCs w:val="20"/>
        </w:rPr>
        <w:t>(Mardani &amp; Sumaji, 2021)</w:t>
      </w:r>
      <w:r w:rsidRPr="00A6117F">
        <w:rPr>
          <w:rFonts w:ascii="Cambria" w:eastAsia="Cambria" w:hAnsi="Cambria" w:cs="Cambria"/>
          <w:bCs/>
          <w:color w:val="000000"/>
          <w:sz w:val="20"/>
          <w:szCs w:val="20"/>
        </w:rPr>
        <w:fldChar w:fldCharType="end"/>
      </w:r>
      <w:r w:rsidRPr="00A6117F">
        <w:rPr>
          <w:rFonts w:ascii="Cambria" w:eastAsia="Cambria" w:hAnsi="Cambria" w:cs="Cambria"/>
          <w:bCs/>
          <w:color w:val="000000"/>
          <w:sz w:val="20"/>
          <w:szCs w:val="20"/>
        </w:rPr>
        <w:t>. Meaningful learning will cultivate a strong and deep impression for students so that it can help improve student’s understanding of concepts and learning experiences.</w:t>
      </w:r>
    </w:p>
    <w:p w14:paraId="7A5B94DE" w14:textId="77777777" w:rsidR="00A6117F" w:rsidRPr="00A6117F" w:rsidRDefault="00A6117F" w:rsidP="00A6117F">
      <w:pPr>
        <w:spacing w:before="0" w:line="240" w:lineRule="auto"/>
        <w:ind w:firstLine="720"/>
        <w:rPr>
          <w:rFonts w:ascii="Cambria" w:eastAsia="Cambria" w:hAnsi="Cambria" w:cs="Cambria"/>
          <w:bCs/>
          <w:color w:val="000000"/>
          <w:sz w:val="20"/>
          <w:szCs w:val="20"/>
        </w:rPr>
      </w:pPr>
      <w:r w:rsidRPr="00A6117F">
        <w:rPr>
          <w:rFonts w:ascii="Cambria" w:eastAsia="Cambria" w:hAnsi="Cambria" w:cs="Cambria"/>
          <w:bCs/>
          <w:color w:val="000000"/>
          <w:sz w:val="20"/>
          <w:szCs w:val="20"/>
        </w:rPr>
        <w:t xml:space="preserve">This study shed light on a set of conceptual and linguistic underpinnings in the development of early numeracy skills by applying sorogan as an effective, low-cost, and practical set of learning processes that can be easily adopted by educators and parents alike through an individualized approach to appropriately address the difficulties faced by students. Besides, a more positive contributions made in stimulating students' early counting skills, including creating more intensive teacher-student interactions and providing space for students to be able to develop gradually according to their abilities, teachers can provide feedback directly according to student abilities and involving student participation in the learning process. But apart from that, of course, there are shortcomings that must be considered, such as the possibility that students will feel bored if they experience stagnation in the process, some students may be less suitable for the learning style applied (dealing with the teacher directly), does not require a lot of </w:t>
      </w:r>
      <w:r w:rsidRPr="00A6117F">
        <w:rPr>
          <w:rFonts w:ascii="Cambria" w:eastAsia="Cambria" w:hAnsi="Cambria" w:cs="Cambria"/>
          <w:bCs/>
          <w:color w:val="000000"/>
          <w:sz w:val="20"/>
          <w:szCs w:val="20"/>
        </w:rPr>
        <w:lastRenderedPageBreak/>
        <w:t xml:space="preserve">facilities but it cannot be denied that the use of other supporting media will support the learning process, it will be a challenge to implement if students are difficult to open up. Overcoming these shortcomings in this study, several things were done to be able to minimize them, among others, by inviting students to take a break for a moment to relax their minds so as not to get bored by doing </w:t>
      </w:r>
      <w:proofErr w:type="gramStart"/>
      <w:r w:rsidRPr="00A6117F">
        <w:rPr>
          <w:rFonts w:ascii="Cambria" w:eastAsia="Cambria" w:hAnsi="Cambria" w:cs="Cambria"/>
          <w:bCs/>
          <w:color w:val="000000"/>
          <w:sz w:val="20"/>
          <w:szCs w:val="20"/>
        </w:rPr>
        <w:t>mini ice</w:t>
      </w:r>
      <w:proofErr w:type="gramEnd"/>
      <w:r w:rsidRPr="00A6117F">
        <w:rPr>
          <w:rFonts w:ascii="Cambria" w:eastAsia="Cambria" w:hAnsi="Cambria" w:cs="Cambria"/>
          <w:bCs/>
          <w:color w:val="000000"/>
          <w:sz w:val="20"/>
          <w:szCs w:val="20"/>
        </w:rPr>
        <w:t xml:space="preserve"> breaking, taking an approach by blending in with students. Collaboration and mutual openness between teachers and students </w:t>
      </w:r>
      <w:proofErr w:type="gramStart"/>
      <w:r w:rsidRPr="00A6117F">
        <w:rPr>
          <w:rFonts w:ascii="Cambria" w:eastAsia="Cambria" w:hAnsi="Cambria" w:cs="Cambria"/>
          <w:bCs/>
          <w:color w:val="000000"/>
          <w:sz w:val="20"/>
          <w:szCs w:val="20"/>
        </w:rPr>
        <w:t>is</w:t>
      </w:r>
      <w:proofErr w:type="gramEnd"/>
      <w:r w:rsidRPr="00A6117F">
        <w:rPr>
          <w:rFonts w:ascii="Cambria" w:eastAsia="Cambria" w:hAnsi="Cambria" w:cs="Cambria"/>
          <w:bCs/>
          <w:color w:val="000000"/>
          <w:sz w:val="20"/>
          <w:szCs w:val="20"/>
        </w:rPr>
        <w:t xml:space="preserve"> one part of the success factor in the application of this learning method, where a supportive classroom atmosphere will strengthen the effectiveness of this method. Several factors can obstruct the implementation of this learning method in the Calistung B class of the Learning Centre Permai, such as the learning space that is not conducive, where all student activities are carried out in one room without a partition, so we can imagine how difficult it is to invite students to focus on the learning process. Another thing is the limited educator resources, the application of learning strategies must be carried out consistently and regularly at the beginning so that the process of stimulating students' numeracy skills can run well and there are no imbalances in the concepts applied by other educators, thus the need for communication so that the learning process can run in sync. Several actions should be avoided in the implementation of learning with the Sorogan method. These include (1) refraining from forcing students to answer questions when they are not ready, as this may result in them feeling pressured and becoming more passive. (2) The act of avoiding the comparison of students is recommended, as it can lead to feelings of embarrassment and inferiority. (3) It is advised not to assign blame to students for mistakes, as this may instill a fear of attempting again.</w:t>
      </w:r>
    </w:p>
    <w:p w14:paraId="787B82F0" w14:textId="266AF346" w:rsidR="00D21D2E" w:rsidRDefault="00A6117F" w:rsidP="00A6117F">
      <w:pPr>
        <w:spacing w:before="0" w:line="240" w:lineRule="auto"/>
        <w:ind w:firstLine="720"/>
        <w:rPr>
          <w:rFonts w:ascii="Cambria" w:eastAsia="Cambria" w:hAnsi="Cambria" w:cs="Cambria"/>
          <w:bCs/>
          <w:color w:val="000000"/>
          <w:sz w:val="20"/>
          <w:szCs w:val="20"/>
        </w:rPr>
      </w:pPr>
      <w:r w:rsidRPr="00A6117F">
        <w:rPr>
          <w:rFonts w:ascii="Cambria" w:eastAsia="Cambria" w:hAnsi="Cambria" w:cs="Cambria"/>
          <w:bCs/>
          <w:color w:val="000000"/>
          <w:sz w:val="20"/>
          <w:szCs w:val="20"/>
        </w:rPr>
        <w:t xml:space="preserve">This study implies that the use of the Sorogan method in learning early counting for Calistung class students has a good impact. The results showed that students are responding positively to this approach, by showing active involvement and participation in learning. This indicates that this approach can enhance the learning process of students at early counting.  However, it should be noted that this research is confined to a small class scale as it employs solely case study research methods, so the use of the number of research subjects was limited and tend too be small. Therefore, the findings of this study cannot be definitively extended to conclude whether the application of the sorogan method with graded worksheets is appropriate and effective in improving student’s counting skills at various scales and levels of difficulty.  Further research is needed by detailing better implementation strategies as well as exploring the long-term impact of applying the sorogan method assisted by graded worksheets in improving students' early counting skills and using a wider range of research subjects. In addition, expanding the scope of research subjects and developing more specific graded worksheets that suit students' needs are also needed. To be able to provide additional perspectives that contribute to the insight of educators to implement innovations in the utilization of creative learning strategies that can be combined with teaching media. Thus, this research is not the final but is a foothold for further research steps that are more in-depth and </w:t>
      </w:r>
      <w:proofErr w:type="gramStart"/>
      <w:r w:rsidRPr="00A6117F">
        <w:rPr>
          <w:rFonts w:ascii="Cambria" w:eastAsia="Cambria" w:hAnsi="Cambria" w:cs="Cambria"/>
          <w:bCs/>
          <w:color w:val="000000"/>
          <w:sz w:val="20"/>
          <w:szCs w:val="20"/>
        </w:rPr>
        <w:t>extensive.</w:t>
      </w:r>
      <w:r w:rsidR="000D3EBF" w:rsidRPr="000B3DEE">
        <w:rPr>
          <w:rFonts w:ascii="Cambria" w:eastAsia="Cambria" w:hAnsi="Cambria" w:cs="Cambria"/>
          <w:bCs/>
          <w:color w:val="000000"/>
          <w:sz w:val="20"/>
          <w:szCs w:val="20"/>
        </w:rPr>
        <w:t>.</w:t>
      </w:r>
      <w:proofErr w:type="gramEnd"/>
      <w:r w:rsidR="005A288D">
        <w:rPr>
          <w:rFonts w:ascii="Cambria" w:eastAsia="Cambria" w:hAnsi="Cambria" w:cs="Cambria"/>
          <w:bCs/>
          <w:color w:val="000000"/>
          <w:sz w:val="20"/>
          <w:szCs w:val="20"/>
        </w:rPr>
        <w:t xml:space="preserve"> </w:t>
      </w:r>
    </w:p>
    <w:p w14:paraId="286742FB" w14:textId="77777777" w:rsidR="005A288D" w:rsidRPr="000B3DEE" w:rsidRDefault="005A288D" w:rsidP="005A288D">
      <w:pPr>
        <w:spacing w:before="0" w:line="240" w:lineRule="auto"/>
        <w:rPr>
          <w:sz w:val="20"/>
          <w:szCs w:val="20"/>
        </w:rPr>
      </w:pPr>
    </w:p>
    <w:p w14:paraId="355B2E9E" w14:textId="77777777" w:rsidR="00505DD5" w:rsidRPr="000B3DEE" w:rsidRDefault="009D73D5">
      <w:pPr>
        <w:pStyle w:val="Heading1"/>
        <w:numPr>
          <w:ilvl w:val="0"/>
          <w:numId w:val="1"/>
        </w:numPr>
        <w:spacing w:before="0" w:after="120" w:line="240" w:lineRule="auto"/>
        <w:ind w:left="284" w:hanging="284"/>
        <w:jc w:val="both"/>
        <w:rPr>
          <w:b w:val="0"/>
        </w:rPr>
      </w:pPr>
      <w:r w:rsidRPr="000B3DEE">
        <w:t>Conclusion</w:t>
      </w:r>
    </w:p>
    <w:p w14:paraId="06183FF0" w14:textId="0064649F" w:rsidR="00505DD5" w:rsidRPr="000B3DEE" w:rsidRDefault="00A6117F">
      <w:pPr>
        <w:spacing w:before="0" w:line="240" w:lineRule="auto"/>
        <w:ind w:firstLine="709"/>
        <w:rPr>
          <w:rFonts w:ascii="Cambria" w:eastAsia="Cambria" w:hAnsi="Cambria" w:cs="Cambria"/>
          <w:bCs/>
          <w:color w:val="000000"/>
          <w:sz w:val="20"/>
          <w:szCs w:val="20"/>
        </w:rPr>
      </w:pPr>
      <w:r w:rsidRPr="00A6117F">
        <w:rPr>
          <w:rFonts w:ascii="Cambria" w:eastAsia="Cambria" w:hAnsi="Cambria" w:cs="Cambria"/>
          <w:bCs/>
          <w:color w:val="000000"/>
          <w:sz w:val="20"/>
          <w:szCs w:val="20"/>
        </w:rPr>
        <w:t xml:space="preserve">Based on the research conducted, the application of the sorogan method with the help of graded Student Worksheets (LKS) in learning counting in Calistung B class at Learning Center Permai was able to applicated to stimulating early numerical skills with a </w:t>
      </w:r>
      <w:proofErr w:type="gramStart"/>
      <w:r w:rsidRPr="00A6117F">
        <w:rPr>
          <w:rFonts w:ascii="Cambria" w:eastAsia="Cambria" w:hAnsi="Cambria" w:cs="Cambria"/>
          <w:bCs/>
          <w:color w:val="000000"/>
          <w:sz w:val="20"/>
          <w:szCs w:val="20"/>
        </w:rPr>
        <w:t>helping students</w:t>
      </w:r>
      <w:proofErr w:type="gramEnd"/>
      <w:r w:rsidRPr="00A6117F">
        <w:rPr>
          <w:rFonts w:ascii="Cambria" w:eastAsia="Cambria" w:hAnsi="Cambria" w:cs="Cambria"/>
          <w:bCs/>
          <w:color w:val="000000"/>
          <w:sz w:val="20"/>
          <w:szCs w:val="20"/>
        </w:rPr>
        <w:t xml:space="preserve"> to understand the concept of early counting easily and on target according to the difficulties faced. Components such as initial apperception, practice problems, discussion, and reflection at the end of learning take an important role in supporting the formation of deep understanding. This process encourages the development of individual student abilities, creates active interaction, and can create meaningful learning. The research findings show that there is an increase in terms of understanding of counting based on the indicators used as well as positive changes in terms of student involvement in the learning process, this confirms that the sorogan method with graded worksheets can be used as an alternative solution to stimulate the early counting skills of Calistung B class students well. The learning process of the Sorogan method is student-centered, prioritizing the focus on exploring aspects of individuality, then the multilevel worksheet is used as a supporting medium in understanding student concepts gradually, as a foundation for the development of sustainable counting skills. Further research is needed with other research methods or the use of supporting media and with a wider range of research subjects to provide additional perspectives that contribute to the insight of educators to implement innovations in the utilization of creative learning strategies that can be combined with teaching media.</w:t>
      </w:r>
    </w:p>
    <w:p w14:paraId="478301A7" w14:textId="77777777" w:rsidR="00505DD5" w:rsidRPr="000B3DEE" w:rsidRDefault="00505DD5" w:rsidP="00270DD2">
      <w:pPr>
        <w:spacing w:before="0" w:line="240" w:lineRule="auto"/>
        <w:rPr>
          <w:rFonts w:ascii="Cambria" w:eastAsia="Cambria" w:hAnsi="Cambria" w:cs="Cambria"/>
          <w:bCs/>
          <w:color w:val="000000"/>
          <w:sz w:val="20"/>
          <w:szCs w:val="20"/>
        </w:rPr>
      </w:pPr>
    </w:p>
    <w:p w14:paraId="07E34501" w14:textId="77777777" w:rsidR="00505DD5" w:rsidRPr="000B3DEE" w:rsidRDefault="009D73D5">
      <w:pPr>
        <w:pStyle w:val="Heading1"/>
        <w:numPr>
          <w:ilvl w:val="0"/>
          <w:numId w:val="1"/>
        </w:numPr>
        <w:spacing w:before="0" w:after="120" w:line="240" w:lineRule="auto"/>
        <w:ind w:left="284" w:hanging="284"/>
        <w:jc w:val="both"/>
        <w:rPr>
          <w:b w:val="0"/>
        </w:rPr>
      </w:pPr>
      <w:r w:rsidRPr="000B3DEE">
        <w:t>References</w:t>
      </w:r>
    </w:p>
    <w:p w14:paraId="7456BFE8" w14:textId="126BB4F9" w:rsidR="004D152E" w:rsidRPr="004D152E" w:rsidRDefault="00802B75" w:rsidP="004D152E">
      <w:pPr>
        <w:widowControl w:val="0"/>
        <w:autoSpaceDE w:val="0"/>
        <w:autoSpaceDN w:val="0"/>
        <w:adjustRightInd w:val="0"/>
        <w:spacing w:before="0" w:line="240" w:lineRule="auto"/>
        <w:ind w:left="480" w:hanging="480"/>
        <w:rPr>
          <w:noProof/>
          <w:sz w:val="20"/>
        </w:rPr>
      </w:pPr>
      <w:r w:rsidRPr="000B3DEE">
        <w:rPr>
          <w:color w:val="000000"/>
          <w:sz w:val="20"/>
          <w:szCs w:val="20"/>
        </w:rPr>
        <w:fldChar w:fldCharType="begin" w:fldLock="1"/>
      </w:r>
      <w:r w:rsidRPr="000B3DEE">
        <w:rPr>
          <w:color w:val="000000"/>
          <w:sz w:val="20"/>
          <w:szCs w:val="20"/>
        </w:rPr>
        <w:instrText xml:space="preserve">ADDIN Mendeley Bibliography CSL_BIBLIOGRAPHY </w:instrText>
      </w:r>
      <w:r w:rsidRPr="000B3DEE">
        <w:rPr>
          <w:color w:val="000000"/>
          <w:sz w:val="20"/>
          <w:szCs w:val="20"/>
        </w:rPr>
        <w:fldChar w:fldCharType="separate"/>
      </w:r>
      <w:r w:rsidR="004D152E" w:rsidRPr="004D152E">
        <w:rPr>
          <w:noProof/>
          <w:sz w:val="20"/>
        </w:rPr>
        <w:t xml:space="preserve">Afif, M. (2019). Penerapan Metode Sorogan dalam Meningkatkan Baca Kitab di Pondok Pesantren Tarbiyatun Nasyi’in. </w:t>
      </w:r>
      <w:r w:rsidR="004D152E" w:rsidRPr="004D152E">
        <w:rPr>
          <w:i/>
          <w:iCs/>
          <w:noProof/>
          <w:sz w:val="20"/>
        </w:rPr>
        <w:t>KABILAH : Journal of Social Community</w:t>
      </w:r>
      <w:r w:rsidR="004D152E" w:rsidRPr="004D152E">
        <w:rPr>
          <w:noProof/>
          <w:sz w:val="20"/>
        </w:rPr>
        <w:t xml:space="preserve">, </w:t>
      </w:r>
      <w:r w:rsidR="004D152E" w:rsidRPr="004D152E">
        <w:rPr>
          <w:i/>
          <w:iCs/>
          <w:noProof/>
          <w:sz w:val="20"/>
        </w:rPr>
        <w:t>4</w:t>
      </w:r>
      <w:r w:rsidR="004D152E" w:rsidRPr="004D152E">
        <w:rPr>
          <w:noProof/>
          <w:sz w:val="20"/>
        </w:rPr>
        <w:t>(2), 34–43. https://doi.org/10.35127/kbl.v4i2.3592</w:t>
      </w:r>
    </w:p>
    <w:p w14:paraId="3F0D2B4E"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lastRenderedPageBreak/>
        <w:t xml:space="preserve">Ahmad, A. B. (2021). Peran Media Sempoa Sebagai Alat Bantu Stimulasi Kemampuan Berhitung Siswa. </w:t>
      </w:r>
      <w:r w:rsidRPr="004D152E">
        <w:rPr>
          <w:i/>
          <w:iCs/>
          <w:noProof/>
          <w:sz w:val="20"/>
        </w:rPr>
        <w:t>Jurnal Pendidikan Dan Sains</w:t>
      </w:r>
      <w:r w:rsidRPr="004D152E">
        <w:rPr>
          <w:noProof/>
          <w:sz w:val="20"/>
        </w:rPr>
        <w:t xml:space="preserve">, </w:t>
      </w:r>
      <w:r w:rsidRPr="004D152E">
        <w:rPr>
          <w:i/>
          <w:iCs/>
          <w:noProof/>
          <w:sz w:val="20"/>
        </w:rPr>
        <w:t>2</w:t>
      </w:r>
      <w:r w:rsidRPr="004D152E">
        <w:rPr>
          <w:noProof/>
          <w:sz w:val="20"/>
        </w:rPr>
        <w:t>(2), 341–353. https://doi.org/10.55210/al-fikru.v2i2.575</w:t>
      </w:r>
    </w:p>
    <w:p w14:paraId="77432B45"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Albab, U., Albab, M. U., Novitasari, Shodiq, J., &amp; Salsabilah, A. T. (2022). </w:t>
      </w:r>
      <w:r w:rsidRPr="004D152E">
        <w:rPr>
          <w:i/>
          <w:iCs/>
          <w:noProof/>
          <w:sz w:val="20"/>
        </w:rPr>
        <w:t>Implementasi Metode Pembelajaran Sorogan Dan Bandongan Dalam Pengajaran Mata Pelajaran Pendidikan Agama Islam Di Sd Nu Banat Banin Lamongan</w:t>
      </w:r>
      <w:r w:rsidRPr="004D152E">
        <w:rPr>
          <w:noProof/>
          <w:sz w:val="20"/>
        </w:rPr>
        <w:t xml:space="preserve">. </w:t>
      </w:r>
      <w:r w:rsidRPr="004D152E">
        <w:rPr>
          <w:i/>
          <w:iCs/>
          <w:noProof/>
          <w:sz w:val="20"/>
        </w:rPr>
        <w:t>16</w:t>
      </w:r>
      <w:r w:rsidRPr="004D152E">
        <w:rPr>
          <w:noProof/>
          <w:sz w:val="20"/>
        </w:rPr>
        <w:t>(2), 19–30. https://journalfai.unisla.ac.id/index.php/akademika/article/view/1134</w:t>
      </w:r>
    </w:p>
    <w:p w14:paraId="66DFF165"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Amelia, D. jantung, A.M., I. A., &amp; Saputra, S. Y. (2020). Pengembangan LKPD Berorientasi Metakognisi Di SD Muhammadiyah 5 Bumiaji. </w:t>
      </w:r>
      <w:r w:rsidRPr="004D152E">
        <w:rPr>
          <w:i/>
          <w:iCs/>
          <w:noProof/>
          <w:sz w:val="20"/>
        </w:rPr>
        <w:t>JINoP (Jurnal Inovasi Pembelajaran)</w:t>
      </w:r>
      <w:r w:rsidRPr="004D152E">
        <w:rPr>
          <w:noProof/>
          <w:sz w:val="20"/>
        </w:rPr>
        <w:t xml:space="preserve">, </w:t>
      </w:r>
      <w:r w:rsidRPr="004D152E">
        <w:rPr>
          <w:i/>
          <w:iCs/>
          <w:noProof/>
          <w:sz w:val="20"/>
        </w:rPr>
        <w:t>6</w:t>
      </w:r>
      <w:r w:rsidRPr="004D152E">
        <w:rPr>
          <w:noProof/>
          <w:sz w:val="20"/>
        </w:rPr>
        <w:t>(1), 113–122. https://doi.org/10.22219/jinop.v6i1.7168</w:t>
      </w:r>
    </w:p>
    <w:p w14:paraId="383CAF4C"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Aneka, Kurniasih, S., Hasanah, U., &amp; Regiana, W. T. (2022). Penggunaan Permainan Kartu Angka Untuk Meningkatkan Pemahaman Berhitung Pada Anak Raudlatul Athfal. </w:t>
      </w:r>
      <w:r w:rsidRPr="004D152E">
        <w:rPr>
          <w:i/>
          <w:iCs/>
          <w:noProof/>
          <w:sz w:val="20"/>
        </w:rPr>
        <w:t>J-SANAK: Jurnal Kajian Anak</w:t>
      </w:r>
      <w:r w:rsidRPr="004D152E">
        <w:rPr>
          <w:noProof/>
          <w:sz w:val="20"/>
        </w:rPr>
        <w:t xml:space="preserve">, </w:t>
      </w:r>
      <w:r w:rsidRPr="004D152E">
        <w:rPr>
          <w:i/>
          <w:iCs/>
          <w:noProof/>
          <w:sz w:val="20"/>
        </w:rPr>
        <w:t>3</w:t>
      </w:r>
      <w:r w:rsidRPr="004D152E">
        <w:rPr>
          <w:noProof/>
          <w:sz w:val="20"/>
        </w:rPr>
        <w:t>(2), 72–85. https://doi.org/10.24127/j-sanak.v3i02.992</w:t>
      </w:r>
    </w:p>
    <w:p w14:paraId="0B1DB6E7"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Anwar, C. (2019). Metode Sorogan Dalam Pembelajaran Membaca Al-Qur’an di Pondok Pesantren. </w:t>
      </w:r>
      <w:r w:rsidRPr="004D152E">
        <w:rPr>
          <w:i/>
          <w:iCs/>
          <w:noProof/>
          <w:sz w:val="20"/>
        </w:rPr>
        <w:t>Mimbar Kampus: Jurnal Pendidikan &amp; Agama Islam</w:t>
      </w:r>
      <w:r w:rsidRPr="004D152E">
        <w:rPr>
          <w:noProof/>
          <w:sz w:val="20"/>
        </w:rPr>
        <w:t xml:space="preserve">, </w:t>
      </w:r>
      <w:r w:rsidRPr="004D152E">
        <w:rPr>
          <w:i/>
          <w:iCs/>
          <w:noProof/>
          <w:sz w:val="20"/>
        </w:rPr>
        <w:t>18</w:t>
      </w:r>
      <w:r w:rsidRPr="004D152E">
        <w:rPr>
          <w:noProof/>
          <w:sz w:val="20"/>
        </w:rPr>
        <w:t>(2), 149–166. https://journal.laaroiba.ac.id/index.php/mimbar/article/view/218/178</w:t>
      </w:r>
    </w:p>
    <w:p w14:paraId="0DFE698D"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Arif Setyani, N., Sumaji, &amp; Suhendar, U. (2022). Analisis keterkaitan minat belajar dan motivasi belajar dalam proses pemahaman konsep matematika. </w:t>
      </w:r>
      <w:r w:rsidRPr="004D152E">
        <w:rPr>
          <w:i/>
          <w:iCs/>
          <w:noProof/>
          <w:sz w:val="20"/>
        </w:rPr>
        <w:t>Journal of Mathematics Education and Applied</w:t>
      </w:r>
      <w:r w:rsidRPr="004D152E">
        <w:rPr>
          <w:noProof/>
          <w:sz w:val="20"/>
        </w:rPr>
        <w:t xml:space="preserve">, </w:t>
      </w:r>
      <w:r w:rsidRPr="004D152E">
        <w:rPr>
          <w:i/>
          <w:iCs/>
          <w:noProof/>
          <w:sz w:val="20"/>
        </w:rPr>
        <w:t>04</w:t>
      </w:r>
      <w:r w:rsidRPr="004D152E">
        <w:rPr>
          <w:noProof/>
          <w:sz w:val="20"/>
        </w:rPr>
        <w:t>(01), 11–22. https://doi.org/10.36655/sepren.v4i1</w:t>
      </w:r>
    </w:p>
    <w:p w14:paraId="74241173"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Carbonell-Jornet, A., Diago, P. D., Arnau, D., &amp; García-Moreno, M. A. (2022). An Instructional Design for The Improvement of Counting Skills in 3-Year-Old Children. </w:t>
      </w:r>
      <w:r w:rsidRPr="004D152E">
        <w:rPr>
          <w:i/>
          <w:iCs/>
          <w:noProof/>
          <w:sz w:val="20"/>
        </w:rPr>
        <w:t>International Electronic Journal of Elementary Education</w:t>
      </w:r>
      <w:r w:rsidRPr="004D152E">
        <w:rPr>
          <w:noProof/>
          <w:sz w:val="20"/>
        </w:rPr>
        <w:t xml:space="preserve">, </w:t>
      </w:r>
      <w:r w:rsidRPr="004D152E">
        <w:rPr>
          <w:i/>
          <w:iCs/>
          <w:noProof/>
          <w:sz w:val="20"/>
        </w:rPr>
        <w:t>14</w:t>
      </w:r>
      <w:r w:rsidRPr="004D152E">
        <w:rPr>
          <w:noProof/>
          <w:sz w:val="20"/>
        </w:rPr>
        <w:t>(3), 387–403. https://doi.org/10.26822/iejee.2022.251</w:t>
      </w:r>
    </w:p>
    <w:p w14:paraId="26BE50B4"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Fahridiana, Y. (2018). </w:t>
      </w:r>
      <w:r w:rsidRPr="004D152E">
        <w:rPr>
          <w:i/>
          <w:iCs/>
          <w:noProof/>
          <w:sz w:val="20"/>
        </w:rPr>
        <w:t>Penggunaan Metode Kuis Dan Sorogan Dalam Meningkatkan Iklim Belajar Yang Kondusif (Studi Kasus di Madrasah Diniyah An-Nur Ngabar Siman Ponorogo Tahun Pelajaran 2017/2018)</w:t>
      </w:r>
      <w:r w:rsidRPr="004D152E">
        <w:rPr>
          <w:noProof/>
          <w:sz w:val="20"/>
        </w:rPr>
        <w:t xml:space="preserve"> [Institut Agama Islam Negeri Ponorogo]. http://etheses.iainponorogo.ac.id/3262/1/file upload.pdf</w:t>
      </w:r>
    </w:p>
    <w:p w14:paraId="6E2AE0D4"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Fathonah, N., &amp; Yudhawati, U. (2019). Peningkatan Aktivitas dan Hasil Belajar Siswa Melalui Model Problem Based Learning. </w:t>
      </w:r>
      <w:r w:rsidRPr="004D152E">
        <w:rPr>
          <w:i/>
          <w:iCs/>
          <w:noProof/>
          <w:sz w:val="20"/>
        </w:rPr>
        <w:t>UNION: Jurnal Pendidikan Matematika</w:t>
      </w:r>
      <w:r w:rsidRPr="004D152E">
        <w:rPr>
          <w:noProof/>
          <w:sz w:val="20"/>
        </w:rPr>
        <w:t xml:space="preserve">, </w:t>
      </w:r>
      <w:r w:rsidRPr="004D152E">
        <w:rPr>
          <w:i/>
          <w:iCs/>
          <w:noProof/>
          <w:sz w:val="20"/>
        </w:rPr>
        <w:t>7</w:t>
      </w:r>
      <w:r w:rsidRPr="004D152E">
        <w:rPr>
          <w:noProof/>
          <w:sz w:val="20"/>
        </w:rPr>
        <w:t>(3). https://doi.org/10.30738/union.v7i3.5910</w:t>
      </w:r>
    </w:p>
    <w:p w14:paraId="7E00243E"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Fauzan, A., Purnamasari, A. I., Ajiz, A., Kaslani, &amp; Tohidi, E. (2022). Media Pembelajaran Berhitung Berbasis Game dengan Metode Addie Untuk Meningkatkan Prestasi. </w:t>
      </w:r>
      <w:r w:rsidRPr="004D152E">
        <w:rPr>
          <w:i/>
          <w:iCs/>
          <w:noProof/>
          <w:sz w:val="20"/>
        </w:rPr>
        <w:t>Journal of Information System Research</w:t>
      </w:r>
      <w:r w:rsidRPr="004D152E">
        <w:rPr>
          <w:noProof/>
          <w:sz w:val="20"/>
        </w:rPr>
        <w:t xml:space="preserve">, </w:t>
      </w:r>
      <w:r w:rsidRPr="004D152E">
        <w:rPr>
          <w:i/>
          <w:iCs/>
          <w:noProof/>
          <w:sz w:val="20"/>
        </w:rPr>
        <w:t>3</w:t>
      </w:r>
      <w:r w:rsidRPr="004D152E">
        <w:rPr>
          <w:noProof/>
          <w:sz w:val="20"/>
        </w:rPr>
        <w:t>(4), 351–357. https://doi.org/10.47065/josh.v3i4.1436</w:t>
      </w:r>
    </w:p>
    <w:p w14:paraId="667B48D8"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Febriani, A., Utomo, H. B., &amp; Dwiyanti, L. (2022). Pengembangan Dadu Hitung Edukatif Sebagai Media Untuk Menstimulasi Kemampuan Berhitung Anak Usia Dini. </w:t>
      </w:r>
      <w:r w:rsidRPr="004D152E">
        <w:rPr>
          <w:i/>
          <w:iCs/>
          <w:noProof/>
          <w:sz w:val="20"/>
        </w:rPr>
        <w:t>Jurnal Pelita PAUD</w:t>
      </w:r>
      <w:r w:rsidRPr="004D152E">
        <w:rPr>
          <w:noProof/>
          <w:sz w:val="20"/>
        </w:rPr>
        <w:t xml:space="preserve">, </w:t>
      </w:r>
      <w:r w:rsidRPr="004D152E">
        <w:rPr>
          <w:i/>
          <w:iCs/>
          <w:noProof/>
          <w:sz w:val="20"/>
        </w:rPr>
        <w:t>6</w:t>
      </w:r>
      <w:r w:rsidRPr="004D152E">
        <w:rPr>
          <w:noProof/>
          <w:sz w:val="20"/>
        </w:rPr>
        <w:t>(2), 180–187. https://doi.org/10.33222/pelitapaud.v6i2.1667</w:t>
      </w:r>
    </w:p>
    <w:p w14:paraId="22A67D15"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Febrizalti, T., &amp; Saridewi. (2020). Stimulasi Kemampuan Berhitung Anak Usia Dini melalui Metode Jarimatika. </w:t>
      </w:r>
      <w:r w:rsidRPr="004D152E">
        <w:rPr>
          <w:i/>
          <w:iCs/>
          <w:noProof/>
          <w:sz w:val="20"/>
        </w:rPr>
        <w:t>Jurnal Pendidikan Tambusai</w:t>
      </w:r>
      <w:r w:rsidRPr="004D152E">
        <w:rPr>
          <w:noProof/>
          <w:sz w:val="20"/>
        </w:rPr>
        <w:t xml:space="preserve">, </w:t>
      </w:r>
      <w:r w:rsidRPr="004D152E">
        <w:rPr>
          <w:i/>
          <w:iCs/>
          <w:noProof/>
          <w:sz w:val="20"/>
        </w:rPr>
        <w:t>4</w:t>
      </w:r>
      <w:r w:rsidRPr="004D152E">
        <w:rPr>
          <w:noProof/>
          <w:sz w:val="20"/>
        </w:rPr>
        <w:t>(3), 1840–1848. https://jptam.org/index.php/jptam/article/view/656</w:t>
      </w:r>
    </w:p>
    <w:p w14:paraId="681956B5"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Firda, J., Setiawani, S., &amp; Murtikusuma, R. P. (2019). Analisis Kemampuan Komunikasi Matematis Siswa Peserta Calistung SMP Negeri 8 Jember. </w:t>
      </w:r>
      <w:r w:rsidRPr="004D152E">
        <w:rPr>
          <w:i/>
          <w:iCs/>
          <w:noProof/>
          <w:sz w:val="20"/>
        </w:rPr>
        <w:t>Kadikma</w:t>
      </w:r>
      <w:r w:rsidRPr="004D152E">
        <w:rPr>
          <w:noProof/>
          <w:sz w:val="20"/>
        </w:rPr>
        <w:t xml:space="preserve">, </w:t>
      </w:r>
      <w:r w:rsidRPr="004D152E">
        <w:rPr>
          <w:i/>
          <w:iCs/>
          <w:noProof/>
          <w:sz w:val="20"/>
        </w:rPr>
        <w:t>10</w:t>
      </w:r>
      <w:r w:rsidRPr="004D152E">
        <w:rPr>
          <w:noProof/>
          <w:sz w:val="20"/>
        </w:rPr>
        <w:t>(1), 116–125. https://doi.org/10.19184/kdma.v10i1.11813</w:t>
      </w:r>
    </w:p>
    <w:p w14:paraId="2F2053EB"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Hutagalung, M. A. (2021). Meningkatkan Kemampuan Berhitung Permulaan Kelas I-A Dengan Menggunakan Metode PAIKEM (Pembelajaran, yang Efektif, Kreatif, Efektif, dan Menyenangkan) pada Pelajaran Matematika Di UPT SPF SD Negeri 060868 Medan Timur. </w:t>
      </w:r>
      <w:r w:rsidRPr="004D152E">
        <w:rPr>
          <w:i/>
          <w:iCs/>
          <w:noProof/>
          <w:sz w:val="20"/>
        </w:rPr>
        <w:t>Jurnal PGMI STIT Al-Ittihadiyah Labuhanbatu Utara</w:t>
      </w:r>
      <w:r w:rsidRPr="004D152E">
        <w:rPr>
          <w:noProof/>
          <w:sz w:val="20"/>
        </w:rPr>
        <w:t xml:space="preserve">, </w:t>
      </w:r>
      <w:r w:rsidRPr="004D152E">
        <w:rPr>
          <w:i/>
          <w:iCs/>
          <w:noProof/>
          <w:sz w:val="20"/>
        </w:rPr>
        <w:t>II</w:t>
      </w:r>
      <w:r w:rsidRPr="004D152E">
        <w:rPr>
          <w:noProof/>
          <w:sz w:val="20"/>
        </w:rPr>
        <w:t>(3), 254–269. https://jurnal.stit-al-ittihadiyahlabura.ac.id/index.php/bunayya/article/view/177</w:t>
      </w:r>
    </w:p>
    <w:p w14:paraId="06402302"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Isna, T. W., Putra, R., Wicaksana, T. I., Tasrif, E., &amp; Huda, A. (2021). Peningkatan Hasil Belajar Siswa melalui Problem Based Learning (PBL). </w:t>
      </w:r>
      <w:r w:rsidRPr="004D152E">
        <w:rPr>
          <w:i/>
          <w:iCs/>
          <w:noProof/>
          <w:sz w:val="20"/>
        </w:rPr>
        <w:t>Jurnal Imiah Pendidikan Dan Pembelajaran</w:t>
      </w:r>
      <w:r w:rsidRPr="004D152E">
        <w:rPr>
          <w:noProof/>
          <w:sz w:val="20"/>
        </w:rPr>
        <w:t xml:space="preserve">, </w:t>
      </w:r>
      <w:r w:rsidRPr="004D152E">
        <w:rPr>
          <w:i/>
          <w:iCs/>
          <w:noProof/>
          <w:sz w:val="20"/>
        </w:rPr>
        <w:t>6</w:t>
      </w:r>
      <w:r w:rsidRPr="004D152E">
        <w:rPr>
          <w:noProof/>
          <w:sz w:val="20"/>
        </w:rPr>
        <w:t>(1), 155–164. https://doi.org/10.23887/jipp.v6i1.42726</w:t>
      </w:r>
    </w:p>
    <w:p w14:paraId="658BC5E3"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Kemmis, S., &amp; McTaggart, R. (1988). The Action Research Planner. </w:t>
      </w:r>
      <w:r w:rsidRPr="004D152E">
        <w:rPr>
          <w:i/>
          <w:iCs/>
          <w:noProof/>
          <w:sz w:val="20"/>
        </w:rPr>
        <w:t>Capítulo 1 Del Libro Del Mismo Nombre, Editado Por La Deakin University</w:t>
      </w:r>
      <w:r w:rsidRPr="004D152E">
        <w:rPr>
          <w:noProof/>
          <w:sz w:val="20"/>
        </w:rPr>
        <w:t>, 1–16. https://doi.org/10.1007/978-981-4560-67-2</w:t>
      </w:r>
    </w:p>
    <w:p w14:paraId="3E337E37"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Mardani, A., &amp; Sumaji. (2021). </w:t>
      </w:r>
      <w:r w:rsidRPr="004D152E">
        <w:rPr>
          <w:i/>
          <w:iCs/>
          <w:noProof/>
          <w:sz w:val="20"/>
        </w:rPr>
        <w:t>Remedial Siswa Melalui Met-Before Terhadap Pemahaman Materi Fungsi Komposisi Siswa Kelas X</w:t>
      </w:r>
      <w:r w:rsidRPr="004D152E">
        <w:rPr>
          <w:noProof/>
          <w:sz w:val="20"/>
        </w:rPr>
        <w:t xml:space="preserve">. </w:t>
      </w:r>
      <w:r w:rsidRPr="004D152E">
        <w:rPr>
          <w:i/>
          <w:iCs/>
          <w:noProof/>
          <w:sz w:val="20"/>
        </w:rPr>
        <w:t>05</w:t>
      </w:r>
      <w:r w:rsidRPr="004D152E">
        <w:rPr>
          <w:noProof/>
          <w:sz w:val="20"/>
        </w:rPr>
        <w:t>(3), 2723–2732. https://doi.org/10.31004/cendekia.v5i3.918</w:t>
      </w:r>
    </w:p>
    <w:p w14:paraId="587DDB45"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Mardhotillah, F. R. (2021). Penerapan Metode Sorogan Sebagai Upaya Meningkatkan Pemahaman Gramatikal Bahasa Arab. </w:t>
      </w:r>
      <w:r w:rsidRPr="004D152E">
        <w:rPr>
          <w:i/>
          <w:iCs/>
          <w:noProof/>
          <w:sz w:val="20"/>
        </w:rPr>
        <w:t>SEMNASBAMA (SEMINAR NASIONAL BAHASA ARAB) V</w:t>
      </w:r>
      <w:r w:rsidRPr="004D152E">
        <w:rPr>
          <w:noProof/>
          <w:sz w:val="20"/>
        </w:rPr>
        <w:t xml:space="preserve">, </w:t>
      </w:r>
      <w:r w:rsidRPr="004D152E">
        <w:rPr>
          <w:i/>
          <w:iCs/>
          <w:noProof/>
          <w:sz w:val="20"/>
        </w:rPr>
        <w:t>5</w:t>
      </w:r>
      <w:r w:rsidRPr="004D152E">
        <w:rPr>
          <w:noProof/>
          <w:sz w:val="20"/>
        </w:rPr>
        <w:t>(5), 53–60. http://prosiding.arab-um.com/index.php/semnasbama/article/view/762</w:t>
      </w:r>
    </w:p>
    <w:p w14:paraId="6F51D75B"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Messikh, D. (2020). A Systematic Review of the Outcomes of Using Action Research in Education. </w:t>
      </w:r>
      <w:r w:rsidRPr="004D152E">
        <w:rPr>
          <w:i/>
          <w:iCs/>
          <w:noProof/>
          <w:sz w:val="20"/>
        </w:rPr>
        <w:t>Arab World English Journal</w:t>
      </w:r>
      <w:r w:rsidRPr="004D152E">
        <w:rPr>
          <w:noProof/>
          <w:sz w:val="20"/>
        </w:rPr>
        <w:t xml:space="preserve">, </w:t>
      </w:r>
      <w:r w:rsidRPr="004D152E">
        <w:rPr>
          <w:i/>
          <w:iCs/>
          <w:noProof/>
          <w:sz w:val="20"/>
        </w:rPr>
        <w:t>11</w:t>
      </w:r>
      <w:r w:rsidRPr="004D152E">
        <w:rPr>
          <w:noProof/>
          <w:sz w:val="20"/>
        </w:rPr>
        <w:t>(1), 482–488. https://doi.org/10.24093/awej/vol11no1.32</w:t>
      </w:r>
    </w:p>
    <w:p w14:paraId="31BFB07A"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Mualifatul, U. (2021). </w:t>
      </w:r>
      <w:r w:rsidRPr="004D152E">
        <w:rPr>
          <w:i/>
          <w:iCs/>
          <w:noProof/>
          <w:sz w:val="20"/>
        </w:rPr>
        <w:t>Implementasi Metode Sorogan Untuk Meningkatkan Pemahaman Konsep Matematika Siswi Kelas VIII Pondok Pesantren Al Iman Ponorogo</w:t>
      </w:r>
      <w:r w:rsidRPr="004D152E">
        <w:rPr>
          <w:noProof/>
          <w:sz w:val="20"/>
        </w:rPr>
        <w:t>. Universitas Muhammadiyah Ponorogo.</w:t>
      </w:r>
    </w:p>
    <w:p w14:paraId="21E1F9E2"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Mulyasari, W., &amp; Fahrozy, F. P. N. (2023). Pemahaman Konsep Pada Nilai Tempat Di Sekolah Dasar. </w:t>
      </w:r>
      <w:r w:rsidRPr="004D152E">
        <w:rPr>
          <w:i/>
          <w:iCs/>
          <w:noProof/>
          <w:sz w:val="20"/>
        </w:rPr>
        <w:t>Jurnal Elementaria Edukasia</w:t>
      </w:r>
      <w:r w:rsidRPr="004D152E">
        <w:rPr>
          <w:noProof/>
          <w:sz w:val="20"/>
        </w:rPr>
        <w:t xml:space="preserve">, </w:t>
      </w:r>
      <w:r w:rsidRPr="004D152E">
        <w:rPr>
          <w:i/>
          <w:iCs/>
          <w:noProof/>
          <w:sz w:val="20"/>
        </w:rPr>
        <w:t>6</w:t>
      </w:r>
      <w:r w:rsidRPr="004D152E">
        <w:rPr>
          <w:noProof/>
          <w:sz w:val="20"/>
        </w:rPr>
        <w:t>(2), 442–452. https://doi.org/10.31949/jee.v6i2.5295</w:t>
      </w:r>
    </w:p>
    <w:p w14:paraId="753C2A77"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Mustofa, A., &amp; Muadzin, A. (2021). Konsepsi Peran Guru Sebagai Fasilitator dan Motivator Dalam Proses Pembelajaran Pendidikan Agama Islam. </w:t>
      </w:r>
      <w:r w:rsidRPr="004D152E">
        <w:rPr>
          <w:i/>
          <w:iCs/>
          <w:noProof/>
          <w:sz w:val="20"/>
        </w:rPr>
        <w:t>Jurnal Pendidikan Islam</w:t>
      </w:r>
      <w:r w:rsidRPr="004D152E">
        <w:rPr>
          <w:noProof/>
          <w:sz w:val="20"/>
        </w:rPr>
        <w:t xml:space="preserve">, </w:t>
      </w:r>
      <w:r w:rsidRPr="004D152E">
        <w:rPr>
          <w:i/>
          <w:iCs/>
          <w:noProof/>
          <w:sz w:val="20"/>
        </w:rPr>
        <w:t>7</w:t>
      </w:r>
      <w:r w:rsidRPr="004D152E">
        <w:rPr>
          <w:noProof/>
          <w:sz w:val="20"/>
        </w:rPr>
        <w:t>(2), 171–186. https://doi.org/10.37286/ojs.v7i2.102</w:t>
      </w:r>
    </w:p>
    <w:p w14:paraId="20360F7E"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Padallingan, Y. (2022). Identifikasi Cara Guru Mengajar Siswa Membaca, Menulis, Berhitung (Calistung) Pada </w:t>
      </w:r>
      <w:r w:rsidRPr="004D152E">
        <w:rPr>
          <w:noProof/>
          <w:sz w:val="20"/>
        </w:rPr>
        <w:lastRenderedPageBreak/>
        <w:t xml:space="preserve">Masa Pandemi di Kelas 1 SDN 213 Inpres Lemo. </w:t>
      </w:r>
      <w:r w:rsidRPr="004D152E">
        <w:rPr>
          <w:i/>
          <w:iCs/>
          <w:noProof/>
          <w:sz w:val="20"/>
        </w:rPr>
        <w:t>Jurnal Keguruan Dan Ilmu Pendidikan</w:t>
      </w:r>
      <w:r w:rsidRPr="004D152E">
        <w:rPr>
          <w:noProof/>
          <w:sz w:val="20"/>
        </w:rPr>
        <w:t xml:space="preserve">, </w:t>
      </w:r>
      <w:r w:rsidRPr="004D152E">
        <w:rPr>
          <w:i/>
          <w:iCs/>
          <w:noProof/>
          <w:sz w:val="20"/>
        </w:rPr>
        <w:t>11</w:t>
      </w:r>
      <w:r w:rsidRPr="004D152E">
        <w:rPr>
          <w:noProof/>
          <w:sz w:val="20"/>
        </w:rPr>
        <w:t>(1), 13–19. https://doi.org/10.47178/jkip.v11i1.1614</w:t>
      </w:r>
    </w:p>
    <w:p w14:paraId="54FD1CC7"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Pangabean, S., Lisnasari, S. F., Puspitasari, I., Basuki, L., Fuadi, A., &amp; Firmansyah, H. (2021). Sistem Student Center Learning Dan Teacher Center Learning. In </w:t>
      </w:r>
      <w:r w:rsidRPr="004D152E">
        <w:rPr>
          <w:i/>
          <w:iCs/>
          <w:noProof/>
          <w:sz w:val="20"/>
        </w:rPr>
        <w:t>Media Sains Indonesia</w:t>
      </w:r>
      <w:r w:rsidRPr="004D152E">
        <w:rPr>
          <w:noProof/>
          <w:sz w:val="20"/>
        </w:rPr>
        <w:t>. https://ejournal.upi.edu/index.php/jpis/article/view/3669</w:t>
      </w:r>
    </w:p>
    <w:p w14:paraId="0D45ED7D"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Putra, N. (2014). </w:t>
      </w:r>
      <w:r w:rsidRPr="004D152E">
        <w:rPr>
          <w:i/>
          <w:iCs/>
          <w:noProof/>
          <w:sz w:val="20"/>
        </w:rPr>
        <w:t>PENELITIAN TINDAKAN</w:t>
      </w:r>
      <w:r w:rsidRPr="004D152E">
        <w:rPr>
          <w:noProof/>
          <w:sz w:val="20"/>
        </w:rPr>
        <w:t xml:space="preserve"> (P. Latifah (ed.)). PT REMAJA ROSDAKARYA.</w:t>
      </w:r>
    </w:p>
    <w:p w14:paraId="4EB49D2A"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Rahayu, N. (2018). Pembelajaran Calistung bagi Anak Usia Dini. </w:t>
      </w:r>
      <w:r w:rsidRPr="004D152E">
        <w:rPr>
          <w:i/>
          <w:iCs/>
          <w:noProof/>
          <w:sz w:val="20"/>
        </w:rPr>
        <w:t>Aṭfālunā: Journal of Islamic Early Childhood Education</w:t>
      </w:r>
      <w:r w:rsidRPr="004D152E">
        <w:rPr>
          <w:noProof/>
          <w:sz w:val="20"/>
        </w:rPr>
        <w:t xml:space="preserve">, </w:t>
      </w:r>
      <w:r w:rsidRPr="004D152E">
        <w:rPr>
          <w:i/>
          <w:iCs/>
          <w:noProof/>
          <w:sz w:val="20"/>
        </w:rPr>
        <w:t>1</w:t>
      </w:r>
      <w:r w:rsidRPr="004D152E">
        <w:rPr>
          <w:noProof/>
          <w:sz w:val="20"/>
        </w:rPr>
        <w:t>(2), 53–58. https://doi.org/10.32505/atfaluna.v1i2.922</w:t>
      </w:r>
    </w:p>
    <w:p w14:paraId="01FE3C6A"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Retnowati, P., &amp; Ekayanti, A. (2020). Think Talk Write Sebagai Upaya Meningkatkan Komunikasi Matematis Siswa. </w:t>
      </w:r>
      <w:r w:rsidRPr="004D152E">
        <w:rPr>
          <w:i/>
          <w:iCs/>
          <w:noProof/>
          <w:sz w:val="20"/>
        </w:rPr>
        <w:t>Sigma</w:t>
      </w:r>
      <w:r w:rsidRPr="004D152E">
        <w:rPr>
          <w:noProof/>
          <w:sz w:val="20"/>
        </w:rPr>
        <w:t xml:space="preserve">, </w:t>
      </w:r>
      <w:r w:rsidRPr="004D152E">
        <w:rPr>
          <w:i/>
          <w:iCs/>
          <w:noProof/>
          <w:sz w:val="20"/>
        </w:rPr>
        <w:t>6</w:t>
      </w:r>
      <w:r w:rsidRPr="004D152E">
        <w:rPr>
          <w:noProof/>
          <w:sz w:val="20"/>
        </w:rPr>
        <w:t>(1), 17. https://doi.org/10.36513/sigma.v6i2.863</w:t>
      </w:r>
    </w:p>
    <w:p w14:paraId="11604E0E"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Rinaningsih, R., Kadarohman, A., &amp; Firman, H. (2019). The Sorogan-Bandongan Model as Active Learning Model in Indonesia. </w:t>
      </w:r>
      <w:r w:rsidRPr="004D152E">
        <w:rPr>
          <w:i/>
          <w:iCs/>
          <w:noProof/>
          <w:sz w:val="20"/>
        </w:rPr>
        <w:t>Proceedings of the National Seminar on Chemistry 2019 (SNK-19)</w:t>
      </w:r>
      <w:r w:rsidRPr="004D152E">
        <w:rPr>
          <w:noProof/>
          <w:sz w:val="20"/>
        </w:rPr>
        <w:t>, 109–111. https://doi.org/10.2991/snk-19.2019.49</w:t>
      </w:r>
    </w:p>
    <w:p w14:paraId="369F349F"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Safitri, Y. A. (2022). </w:t>
      </w:r>
      <w:r w:rsidRPr="004D152E">
        <w:rPr>
          <w:i/>
          <w:iCs/>
          <w:noProof/>
          <w:sz w:val="20"/>
        </w:rPr>
        <w:t>Pengembangan Perangkat Pembelajaran Berbasis Konsep untuk Meningkatkan Kemampuan Berpikir Intuitif Matematis Siswa</w:t>
      </w:r>
      <w:r w:rsidRPr="004D152E">
        <w:rPr>
          <w:noProof/>
          <w:sz w:val="20"/>
        </w:rPr>
        <w:t xml:space="preserve"> [UIN Syarif Hidayatullah Jakarta]. https://repository.uinjkt.ac.id/dspace/handle/123456789/60832</w:t>
      </w:r>
    </w:p>
    <w:p w14:paraId="14B297D3"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Saidah, K., Primasatya, N., Mukmin, B. A., &amp; Damayanti, S. (2021). Sosialisasi Peran Apersepsi Untuk Meningkatkan Kesiapan Belajar Anak Di Sanggar Genius Yayasan Yatim Mandiri Cabang Kediri. </w:t>
      </w:r>
      <w:r w:rsidRPr="004D152E">
        <w:rPr>
          <w:i/>
          <w:iCs/>
          <w:noProof/>
          <w:sz w:val="20"/>
        </w:rPr>
        <w:t>Dedikasi Nusantara: Jurnal Pengabdian Masyarakat Pendidikan Dasar</w:t>
      </w:r>
      <w:r w:rsidRPr="004D152E">
        <w:rPr>
          <w:noProof/>
          <w:sz w:val="20"/>
        </w:rPr>
        <w:t xml:space="preserve">, </w:t>
      </w:r>
      <w:r w:rsidRPr="004D152E">
        <w:rPr>
          <w:i/>
          <w:iCs/>
          <w:noProof/>
          <w:sz w:val="20"/>
        </w:rPr>
        <w:t>1</w:t>
      </w:r>
      <w:r w:rsidRPr="004D152E">
        <w:rPr>
          <w:noProof/>
          <w:sz w:val="20"/>
        </w:rPr>
        <w:t>(1), 10–16. https://doi.org/10.29407/dedikasi.v1i1.16065</w:t>
      </w:r>
    </w:p>
    <w:p w14:paraId="227727E3"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Saputri, D. (2019). </w:t>
      </w:r>
      <w:r w:rsidRPr="004D152E">
        <w:rPr>
          <w:i/>
          <w:iCs/>
          <w:noProof/>
          <w:sz w:val="20"/>
        </w:rPr>
        <w:t>Metode Sorogan Berbantu Tutor Sebaya untuk Meningkatkan Pemahaman Konsep Matematis Siswa MTsN 1 Bandar Lampung</w:t>
      </w:r>
      <w:r w:rsidRPr="004D152E">
        <w:rPr>
          <w:noProof/>
          <w:sz w:val="20"/>
        </w:rPr>
        <w:t xml:space="preserve"> [UNIVERSITAS ISLAM NEGERI RADEN INTAN LAMPUNG]. http://repository.radenintan.ac.id/8749/1/skripsi dina ok.pdf</w:t>
      </w:r>
    </w:p>
    <w:p w14:paraId="5041E5B6"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Setyaningsih, L., &amp; Ekayanti, A. (2019). Keterampilan Berfikir Siswa SMP dalam Menyelesaikan Soal Matematika Ditinjau dari Kemampuan Number Sense. </w:t>
      </w:r>
      <w:r w:rsidRPr="004D152E">
        <w:rPr>
          <w:i/>
          <w:iCs/>
          <w:noProof/>
          <w:sz w:val="20"/>
        </w:rPr>
        <w:t>Jurnal Didaktik Matematika</w:t>
      </w:r>
      <w:r w:rsidRPr="004D152E">
        <w:rPr>
          <w:noProof/>
          <w:sz w:val="20"/>
        </w:rPr>
        <w:t xml:space="preserve">, </w:t>
      </w:r>
      <w:r w:rsidRPr="004D152E">
        <w:rPr>
          <w:i/>
          <w:iCs/>
          <w:noProof/>
          <w:sz w:val="20"/>
        </w:rPr>
        <w:t>6</w:t>
      </w:r>
      <w:r w:rsidRPr="004D152E">
        <w:rPr>
          <w:noProof/>
          <w:sz w:val="20"/>
        </w:rPr>
        <w:t>(1), 28–39. https://doi.org/10.24815/jdm.v6i1.11699</w:t>
      </w:r>
    </w:p>
    <w:p w14:paraId="0B166471"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Slusser, E. (2019). Counting and basic numerical skills. </w:t>
      </w:r>
      <w:r w:rsidRPr="004D152E">
        <w:rPr>
          <w:i/>
          <w:iCs/>
          <w:noProof/>
          <w:sz w:val="20"/>
        </w:rPr>
        <w:t>International Handbook of Mathematical Learning Difficulties: From the Laboratory to the Classroom</w:t>
      </w:r>
      <w:r w:rsidRPr="004D152E">
        <w:rPr>
          <w:noProof/>
          <w:sz w:val="20"/>
        </w:rPr>
        <w:t>, 521–542. https://doi.org/10.1007/978-3-319-97148-3_31</w:t>
      </w:r>
    </w:p>
    <w:p w14:paraId="7517F70C"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Suarni, N. L. (2022). Meningkatkan Kemampuan Berhitung Permulaan Anak Usia Dini Melalui Media ABAKUS Kelompok B TK PGRI 2 Mataram. </w:t>
      </w:r>
      <w:r w:rsidRPr="004D152E">
        <w:rPr>
          <w:i/>
          <w:iCs/>
          <w:noProof/>
          <w:sz w:val="20"/>
        </w:rPr>
        <w:t>ALSYS: Jurnal Keislaman Dan Ilmu Pendidikan</w:t>
      </w:r>
      <w:r w:rsidRPr="004D152E">
        <w:rPr>
          <w:noProof/>
          <w:sz w:val="20"/>
        </w:rPr>
        <w:t xml:space="preserve">, </w:t>
      </w:r>
      <w:r w:rsidRPr="004D152E">
        <w:rPr>
          <w:i/>
          <w:iCs/>
          <w:noProof/>
          <w:sz w:val="20"/>
        </w:rPr>
        <w:t>2</w:t>
      </w:r>
      <w:r w:rsidRPr="004D152E">
        <w:rPr>
          <w:noProof/>
          <w:sz w:val="20"/>
        </w:rPr>
        <w:t>(5), 604–614. http://dx.doi.org/10.58578/alsys.v2i5.565</w:t>
      </w:r>
    </w:p>
    <w:p w14:paraId="336D89D0"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Sukmawati, T. N., Husna, N., &amp; Wahyuni, R. (2021). Analysis of Problem Solving Ability Judging from the Ethnicity of Junior High School Students on Social Arithmetic Materials in Singkawang City West Kalimantan. </w:t>
      </w:r>
      <w:r w:rsidRPr="004D152E">
        <w:rPr>
          <w:i/>
          <w:iCs/>
          <w:noProof/>
          <w:sz w:val="20"/>
        </w:rPr>
        <w:t>Jurnal Kependidikan: Jurnal Hasil Penelitian Dan Kajian Kepustakaan Di Bidang Pendidikan, Pengajaran Dan Pembelajaran</w:t>
      </w:r>
      <w:r w:rsidRPr="004D152E">
        <w:rPr>
          <w:noProof/>
          <w:sz w:val="20"/>
        </w:rPr>
        <w:t xml:space="preserve">, </w:t>
      </w:r>
      <w:r w:rsidRPr="004D152E">
        <w:rPr>
          <w:i/>
          <w:iCs/>
          <w:noProof/>
          <w:sz w:val="20"/>
        </w:rPr>
        <w:t>7</w:t>
      </w:r>
      <w:r w:rsidRPr="004D152E">
        <w:rPr>
          <w:noProof/>
          <w:sz w:val="20"/>
        </w:rPr>
        <w:t>(4), 968–980. https://doi.org/10.33394/jk.v7i4.3920</w:t>
      </w:r>
    </w:p>
    <w:p w14:paraId="0C4CAD2F"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Sumaji, S., &amp; Wahyudi, W. (2020). Refleksi Pembelajaran Matematika SMK Muhammadiyah 1 Ponorogo Pada Materi Persamaan dan Pertidaksamaan Linear Mutlak. </w:t>
      </w:r>
      <w:r w:rsidRPr="004D152E">
        <w:rPr>
          <w:i/>
          <w:iCs/>
          <w:noProof/>
          <w:sz w:val="20"/>
        </w:rPr>
        <w:t>Jurnal Cendekia : Jurnal Pendidikan Matematika</w:t>
      </w:r>
      <w:r w:rsidRPr="004D152E">
        <w:rPr>
          <w:noProof/>
          <w:sz w:val="20"/>
        </w:rPr>
        <w:t xml:space="preserve">, </w:t>
      </w:r>
      <w:r w:rsidRPr="004D152E">
        <w:rPr>
          <w:i/>
          <w:iCs/>
          <w:noProof/>
          <w:sz w:val="20"/>
        </w:rPr>
        <w:t>4</w:t>
      </w:r>
      <w:r w:rsidRPr="004D152E">
        <w:rPr>
          <w:noProof/>
          <w:sz w:val="20"/>
        </w:rPr>
        <w:t>(2), 746–755. https://doi.org/10.31004/cendekia.v4i2.281</w:t>
      </w:r>
    </w:p>
    <w:p w14:paraId="749C9586"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Suprapto, A. A. (2020). Pembelajaran Membaca Menulis Dan Berhitung (CALISTUNG) Pada Kelompok TK B USIA 5-6 Tahun Di KB Surya Marta. </w:t>
      </w:r>
      <w:r w:rsidRPr="004D152E">
        <w:rPr>
          <w:i/>
          <w:iCs/>
          <w:noProof/>
          <w:sz w:val="20"/>
        </w:rPr>
        <w:t>Jurnal Pendidikan Anak Usia Dini</w:t>
      </w:r>
      <w:r w:rsidRPr="004D152E">
        <w:rPr>
          <w:noProof/>
          <w:sz w:val="20"/>
        </w:rPr>
        <w:t xml:space="preserve">, </w:t>
      </w:r>
      <w:r w:rsidRPr="004D152E">
        <w:rPr>
          <w:i/>
          <w:iCs/>
          <w:noProof/>
          <w:sz w:val="20"/>
        </w:rPr>
        <w:t>9</w:t>
      </w:r>
      <w:r w:rsidRPr="004D152E">
        <w:rPr>
          <w:noProof/>
          <w:sz w:val="20"/>
        </w:rPr>
        <w:t>(9), 53–61. https://journal.student.uny.ac.id/ojs/index.php/pgpaud/article/view/17403</w:t>
      </w:r>
    </w:p>
    <w:p w14:paraId="36213163"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Susdarwono, E. T. (2020). Penguasaan 4 (Empat) Prasyarat Dasar Aritmatika Untuk Meningkatkan Kemampuan Siswa Sekolah Dasar Dalam Menyelesaikan Soal Matematika. </w:t>
      </w:r>
      <w:r w:rsidRPr="004D152E">
        <w:rPr>
          <w:i/>
          <w:iCs/>
          <w:noProof/>
          <w:sz w:val="20"/>
        </w:rPr>
        <w:t>Jurnal Pembelajaran Dan Matematika Sigma (Jpms)</w:t>
      </w:r>
      <w:r w:rsidRPr="004D152E">
        <w:rPr>
          <w:noProof/>
          <w:sz w:val="20"/>
        </w:rPr>
        <w:t xml:space="preserve">, </w:t>
      </w:r>
      <w:r w:rsidRPr="004D152E">
        <w:rPr>
          <w:i/>
          <w:iCs/>
          <w:noProof/>
          <w:sz w:val="20"/>
        </w:rPr>
        <w:t>6</w:t>
      </w:r>
      <w:r w:rsidRPr="004D152E">
        <w:rPr>
          <w:noProof/>
          <w:sz w:val="20"/>
        </w:rPr>
        <w:t>(2), 72–84. https://doi.org/10.36987/jpms.v6i2.1856</w:t>
      </w:r>
    </w:p>
    <w:p w14:paraId="3270789C"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Valentina, A., &amp; Wulandari, M. D. (2022). Media Pembelajaran Mabeta Untuk Menguatkan Kemampuan Berhitung Peserta Didik Sekolah Dasar. </w:t>
      </w:r>
      <w:r w:rsidRPr="004D152E">
        <w:rPr>
          <w:i/>
          <w:iCs/>
          <w:noProof/>
          <w:sz w:val="20"/>
        </w:rPr>
        <w:t>Jurnal Cakrawala Pendas</w:t>
      </w:r>
      <w:r w:rsidRPr="004D152E">
        <w:rPr>
          <w:noProof/>
          <w:sz w:val="20"/>
        </w:rPr>
        <w:t xml:space="preserve">, </w:t>
      </w:r>
      <w:r w:rsidRPr="004D152E">
        <w:rPr>
          <w:i/>
          <w:iCs/>
          <w:noProof/>
          <w:sz w:val="20"/>
        </w:rPr>
        <w:t>8</w:t>
      </w:r>
      <w:r w:rsidRPr="004D152E">
        <w:rPr>
          <w:noProof/>
          <w:sz w:val="20"/>
        </w:rPr>
        <w:t>(3), 601–610. https://doi.org/10.31949/jcp.v8i3.2474</w:t>
      </w:r>
    </w:p>
    <w:p w14:paraId="1FCFC3C1"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Vargas-Hernández, J. G., &amp; Vargas-González, O. C. (2022). Strategies for meaningful learning in higher education. </w:t>
      </w:r>
      <w:r w:rsidRPr="004D152E">
        <w:rPr>
          <w:i/>
          <w:iCs/>
          <w:noProof/>
          <w:sz w:val="20"/>
        </w:rPr>
        <w:t>Journal of Research in Instructional</w:t>
      </w:r>
      <w:r w:rsidRPr="004D152E">
        <w:rPr>
          <w:noProof/>
          <w:sz w:val="20"/>
        </w:rPr>
        <w:t xml:space="preserve">, </w:t>
      </w:r>
      <w:r w:rsidRPr="004D152E">
        <w:rPr>
          <w:i/>
          <w:iCs/>
          <w:noProof/>
          <w:sz w:val="20"/>
        </w:rPr>
        <w:t>2</w:t>
      </w:r>
      <w:r w:rsidRPr="004D152E">
        <w:rPr>
          <w:noProof/>
          <w:sz w:val="20"/>
        </w:rPr>
        <w:t>(1), 47–64. https://doi.org/10.30862/jri.v2i1.41</w:t>
      </w:r>
    </w:p>
    <w:p w14:paraId="009576BE"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Wirabumi, R. (2020). Metode Pembelajaran Ceramah. </w:t>
      </w:r>
      <w:r w:rsidRPr="004D152E">
        <w:rPr>
          <w:i/>
          <w:iCs/>
          <w:noProof/>
          <w:sz w:val="20"/>
        </w:rPr>
        <w:t>Annual Conference on Islamic Education and Thought</w:t>
      </w:r>
      <w:r w:rsidRPr="004D152E">
        <w:rPr>
          <w:noProof/>
          <w:sz w:val="20"/>
        </w:rPr>
        <w:t xml:space="preserve">, </w:t>
      </w:r>
      <w:r w:rsidRPr="004D152E">
        <w:rPr>
          <w:i/>
          <w:iCs/>
          <w:noProof/>
          <w:sz w:val="20"/>
        </w:rPr>
        <w:t>I</w:t>
      </w:r>
      <w:r w:rsidRPr="004D152E">
        <w:rPr>
          <w:noProof/>
          <w:sz w:val="20"/>
        </w:rPr>
        <w:t>(I), 105–113. https://pkm.uika-bogor.ac.id/index.php/aciet/article/view/660/569</w:t>
      </w:r>
    </w:p>
    <w:p w14:paraId="00F91046" w14:textId="77777777" w:rsidR="004D152E" w:rsidRPr="004D152E" w:rsidRDefault="004D152E" w:rsidP="004D152E">
      <w:pPr>
        <w:widowControl w:val="0"/>
        <w:autoSpaceDE w:val="0"/>
        <w:autoSpaceDN w:val="0"/>
        <w:adjustRightInd w:val="0"/>
        <w:spacing w:before="0" w:line="240" w:lineRule="auto"/>
        <w:ind w:left="480" w:hanging="480"/>
        <w:rPr>
          <w:noProof/>
          <w:sz w:val="20"/>
        </w:rPr>
      </w:pPr>
      <w:r w:rsidRPr="004D152E">
        <w:rPr>
          <w:noProof/>
          <w:sz w:val="20"/>
        </w:rPr>
        <w:t xml:space="preserve">Yusuf, M., Subagya, Maulana, I., &amp; Budiarto, M. K. (2022). Implementation of PBL and IBL Models Assisted by Video Media to Improve Critical Thinking Skills. </w:t>
      </w:r>
      <w:r w:rsidRPr="004D152E">
        <w:rPr>
          <w:i/>
          <w:iCs/>
          <w:noProof/>
          <w:sz w:val="20"/>
        </w:rPr>
        <w:t>Jurnal Ilmiah Sekolah Dasar</w:t>
      </w:r>
      <w:r w:rsidRPr="004D152E">
        <w:rPr>
          <w:noProof/>
          <w:sz w:val="20"/>
        </w:rPr>
        <w:t xml:space="preserve">, </w:t>
      </w:r>
      <w:r w:rsidRPr="004D152E">
        <w:rPr>
          <w:i/>
          <w:iCs/>
          <w:noProof/>
          <w:sz w:val="20"/>
        </w:rPr>
        <w:t>6</w:t>
      </w:r>
      <w:r w:rsidRPr="004D152E">
        <w:rPr>
          <w:noProof/>
          <w:sz w:val="20"/>
        </w:rPr>
        <w:t>(3), 375–384. https://doi.org/10.23887/jisd.v6i3.47949</w:t>
      </w:r>
    </w:p>
    <w:p w14:paraId="4455E6F7" w14:textId="3B057779" w:rsidR="00305F47" w:rsidRDefault="00802B75" w:rsidP="00802B75">
      <w:pPr>
        <w:widowControl w:val="0"/>
        <w:autoSpaceDE w:val="0"/>
        <w:autoSpaceDN w:val="0"/>
        <w:adjustRightInd w:val="0"/>
        <w:spacing w:before="0" w:line="240" w:lineRule="auto"/>
        <w:ind w:left="480" w:hanging="480"/>
        <w:rPr>
          <w:color w:val="000000"/>
          <w:sz w:val="20"/>
          <w:szCs w:val="20"/>
        </w:rPr>
      </w:pPr>
      <w:r w:rsidRPr="000B3DEE">
        <w:rPr>
          <w:color w:val="000000"/>
          <w:sz w:val="20"/>
          <w:szCs w:val="20"/>
        </w:rPr>
        <w:fldChar w:fldCharType="end"/>
      </w:r>
      <w:r>
        <w:rPr>
          <w:color w:val="000000"/>
          <w:sz w:val="20"/>
          <w:szCs w:val="20"/>
        </w:rPr>
        <w:t xml:space="preserve"> </w:t>
      </w:r>
    </w:p>
    <w:p w14:paraId="5DF7CEDC" w14:textId="389EB388" w:rsidR="005A288D" w:rsidRDefault="005A288D" w:rsidP="00144C3F">
      <w:pPr>
        <w:spacing w:line="240" w:lineRule="auto"/>
        <w:rPr>
          <w:color w:val="000000"/>
          <w:sz w:val="20"/>
          <w:szCs w:val="20"/>
        </w:rPr>
      </w:pPr>
    </w:p>
    <w:sectPr w:rsidR="005A288D">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E7D13" w14:textId="77777777" w:rsidR="00D72256" w:rsidRDefault="00D72256">
      <w:pPr>
        <w:spacing w:before="0" w:line="240" w:lineRule="auto"/>
      </w:pPr>
      <w:r>
        <w:separator/>
      </w:r>
    </w:p>
  </w:endnote>
  <w:endnote w:type="continuationSeparator" w:id="0">
    <w:p w14:paraId="39292F5E" w14:textId="77777777" w:rsidR="00D72256" w:rsidRDefault="00D7225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dvOTc4d0b532">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6AA0" w14:textId="77777777" w:rsidR="00505DD5" w:rsidRDefault="00505DD5">
    <w:pPr>
      <w:spacing w:before="0" w:line="240" w:lineRule="auto"/>
      <w:jc w:val="left"/>
      <w:rPr>
        <w:i/>
        <w:color w:val="000000"/>
        <w:sz w:val="16"/>
        <w:szCs w:val="16"/>
      </w:rPr>
    </w:pPr>
  </w:p>
  <w:p w14:paraId="01D57B22" w14:textId="77777777" w:rsidR="00505DD5" w:rsidRDefault="00505DD5">
    <w:pPr>
      <w:spacing w:before="0" w:line="240" w:lineRule="auto"/>
      <w:jc w:val="left"/>
      <w:rPr>
        <w:i/>
        <w:color w:val="000000"/>
        <w:sz w:val="16"/>
        <w:szCs w:val="16"/>
      </w:rPr>
    </w:pPr>
  </w:p>
  <w:p w14:paraId="75E17641" w14:textId="77777777" w:rsidR="00DC5089" w:rsidRPr="00F11F0B" w:rsidRDefault="009D73D5" w:rsidP="00DC5089">
    <w:pPr>
      <w:spacing w:before="0" w:line="240" w:lineRule="auto"/>
      <w:rPr>
        <w:i/>
        <w:color w:val="000000"/>
        <w:sz w:val="16"/>
        <w:szCs w:val="16"/>
      </w:rPr>
    </w:pPr>
    <w:r>
      <w:rPr>
        <w:i/>
        <w:color w:val="000000"/>
        <w:sz w:val="16"/>
        <w:szCs w:val="16"/>
      </w:rPr>
      <w:t>p-</w:t>
    </w:r>
    <w:proofErr w:type="gramStart"/>
    <w:r>
      <w:rPr>
        <w:i/>
        <w:color w:val="000000"/>
        <w:sz w:val="16"/>
        <w:szCs w:val="16"/>
      </w:rPr>
      <w:t>ISSN :</w:t>
    </w:r>
    <w:proofErr w:type="gramEnd"/>
    <w:r w:rsidR="00F11F0B" w:rsidRPr="00F11F0B">
      <w:rPr>
        <w:i/>
        <w:color w:val="000000"/>
        <w:sz w:val="16"/>
        <w:szCs w:val="16"/>
      </w:rPr>
      <w:t xml:space="preserve"> 2615-6148</w:t>
    </w:r>
    <w:r>
      <w:rPr>
        <w:b/>
        <w:i/>
        <w:color w:val="000000"/>
        <w:sz w:val="16"/>
        <w:szCs w:val="16"/>
      </w:rPr>
      <w:t>,</w:t>
    </w:r>
    <w:r>
      <w:rPr>
        <w:i/>
        <w:color w:val="000000"/>
        <w:sz w:val="16"/>
        <w:szCs w:val="16"/>
      </w:rPr>
      <w:t xml:space="preserve"> e-ISSN :</w:t>
    </w:r>
    <w:r w:rsidR="00DC5089" w:rsidRPr="00DC5089">
      <w:rPr>
        <w:rFonts w:ascii="Cambria" w:eastAsia="Cambria" w:hAnsi="Cambria" w:cs="Cambria"/>
        <w:sz w:val="14"/>
        <w:szCs w:val="14"/>
      </w:rPr>
      <w:t xml:space="preserve"> </w:t>
    </w:r>
    <w:r w:rsidR="00F11F0B" w:rsidRPr="00F11F0B">
      <w:rPr>
        <w:rFonts w:eastAsia="Cambria"/>
        <w:i/>
        <w:sz w:val="16"/>
        <w:szCs w:val="16"/>
      </w:rPr>
      <w:t>2615-7330</w:t>
    </w:r>
  </w:p>
  <w:p w14:paraId="65829094" w14:textId="77777777" w:rsidR="00505DD5" w:rsidRDefault="009D73D5">
    <w:pPr>
      <w:spacing w:before="0" w:line="240" w:lineRule="auto"/>
      <w:rPr>
        <w:sz w:val="16"/>
        <w:szCs w:val="16"/>
      </w:rPr>
    </w:pPr>
    <w:r>
      <w:rPr>
        <w:i/>
        <w:color w:val="000000"/>
        <w:sz w:val="16"/>
        <w:szCs w:val="16"/>
      </w:rPr>
      <w:tab/>
    </w:r>
    <w:r>
      <w:rPr>
        <w:i/>
        <w:color w:val="000000"/>
        <w:sz w:val="16"/>
        <w:szCs w:val="16"/>
      </w:rPr>
      <w:tab/>
    </w:r>
    <w:r>
      <w:rPr>
        <w:i/>
        <w:color w:val="000000"/>
        <w:sz w:val="16"/>
        <w:szCs w:val="16"/>
      </w:rPr>
      <w:tab/>
    </w:r>
    <w:r>
      <w:rPr>
        <w:i/>
        <w:color w:val="000000"/>
        <w:sz w:val="16"/>
        <w:szCs w:val="16"/>
      </w:rPr>
      <w:tab/>
    </w:r>
    <w:r>
      <w:rPr>
        <w:i/>
        <w:color w:val="000000"/>
        <w:sz w:val="16"/>
        <w:szCs w:val="16"/>
      </w:rPr>
      <w:tab/>
    </w:r>
    <w:r>
      <w:rPr>
        <w:i/>
        <w:color w:val="000000"/>
        <w:sz w:val="16"/>
        <w:szCs w:val="16"/>
      </w:rPr>
      <w:tab/>
    </w:r>
    <w:r>
      <w:rPr>
        <w:i/>
        <w:color w:val="000000"/>
        <w:sz w:val="16"/>
        <w:szCs w:val="16"/>
      </w:rPr>
      <w:tab/>
    </w:r>
    <w:r>
      <w:rPr>
        <w:i/>
        <w:color w:val="000000"/>
        <w:sz w:val="16"/>
        <w:szCs w:val="16"/>
      </w:rPr>
      <w:tab/>
      <w:t xml:space="preserve">    </w:t>
    </w:r>
    <w:r>
      <w:rPr>
        <w:i/>
        <w:color w:val="000000"/>
        <w:sz w:val="16"/>
        <w:szCs w:val="16"/>
      </w:rPr>
      <w:tab/>
      <w:t xml:space="preserve">      </w:t>
    </w:r>
    <w:r w:rsidR="00DC5089">
      <w:rPr>
        <w:i/>
        <w:color w:val="000000"/>
        <w:sz w:val="16"/>
        <w:szCs w:val="16"/>
      </w:rPr>
      <w:tab/>
    </w:r>
    <w:r w:rsidR="00DC5089">
      <w:rPr>
        <w:i/>
        <w:color w:val="000000"/>
        <w:sz w:val="16"/>
        <w:szCs w:val="16"/>
      </w:rPr>
      <w:tab/>
    </w:r>
    <w:r w:rsidR="00DC5089">
      <w:rPr>
        <w:i/>
        <w:color w:val="000000"/>
        <w:sz w:val="16"/>
        <w:szCs w:val="16"/>
      </w:rPr>
      <w:tab/>
    </w:r>
    <w:r>
      <w:rPr>
        <w:i/>
        <w:color w:val="000000"/>
        <w:sz w:val="16"/>
        <w:szCs w:val="16"/>
      </w:rPr>
      <w:t xml:space="preserve"> </w:t>
    </w:r>
    <w:r>
      <w:rPr>
        <w:sz w:val="16"/>
        <w:szCs w:val="16"/>
      </w:rPr>
      <w:fldChar w:fldCharType="begin"/>
    </w:r>
    <w:r>
      <w:rPr>
        <w:sz w:val="16"/>
        <w:szCs w:val="16"/>
      </w:rPr>
      <w:instrText>PAGE</w:instrText>
    </w:r>
    <w:r>
      <w:rPr>
        <w:sz w:val="16"/>
        <w:szCs w:val="16"/>
      </w:rPr>
      <w:fldChar w:fldCharType="separate"/>
    </w:r>
    <w:r w:rsidR="00F11F0B">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9DAC" w14:textId="77777777" w:rsidR="00505DD5" w:rsidRDefault="009D73D5">
    <w:pPr>
      <w:tabs>
        <w:tab w:val="left" w:pos="5878"/>
      </w:tabs>
      <w:spacing w:before="0" w:line="240" w:lineRule="auto"/>
      <w:jc w:val="left"/>
      <w:rPr>
        <w:rFonts w:ascii="Calibri" w:eastAsia="Calibri" w:hAnsi="Calibri" w:cs="Calibri"/>
        <w:sz w:val="16"/>
        <w:szCs w:val="16"/>
      </w:rPr>
    </w:pPr>
    <w:r>
      <w:rPr>
        <w:rFonts w:ascii="Calibri" w:eastAsia="Calibri" w:hAnsi="Calibri" w:cs="Calibri"/>
        <w:sz w:val="16"/>
        <w:szCs w:val="16"/>
      </w:rPr>
      <w:tab/>
    </w:r>
  </w:p>
  <w:p w14:paraId="64728CB3" w14:textId="77777777" w:rsidR="00505DD5" w:rsidRDefault="00505DD5">
    <w:pPr>
      <w:spacing w:before="0" w:line="240" w:lineRule="auto"/>
      <w:jc w:val="left"/>
      <w:rPr>
        <w:rFonts w:ascii="Calibri" w:eastAsia="Calibri" w:hAnsi="Calibri" w:cs="Calibri"/>
        <w:sz w:val="16"/>
        <w:szCs w:val="16"/>
      </w:rPr>
    </w:pPr>
  </w:p>
  <w:p w14:paraId="198C983B" w14:textId="77777777" w:rsidR="00505DD5" w:rsidRDefault="00505DD5">
    <w:pPr>
      <w:tabs>
        <w:tab w:val="left" w:pos="1752"/>
      </w:tabs>
      <w:spacing w:before="0" w:line="240" w:lineRule="auto"/>
      <w:jc w:val="left"/>
      <w:rPr>
        <w:sz w:val="16"/>
        <w:szCs w:val="16"/>
      </w:rPr>
    </w:pPr>
  </w:p>
  <w:p w14:paraId="41B8C3CF" w14:textId="7B9E0F8D" w:rsidR="00505DD5" w:rsidRDefault="004C0786">
    <w:pPr>
      <w:tabs>
        <w:tab w:val="left" w:pos="8364"/>
      </w:tabs>
      <w:spacing w:before="0" w:line="240" w:lineRule="auto"/>
      <w:rPr>
        <w:sz w:val="16"/>
        <w:szCs w:val="16"/>
      </w:rPr>
    </w:pPr>
    <w:r w:rsidRPr="004C0786">
      <w:rPr>
        <w:i/>
        <w:sz w:val="16"/>
        <w:szCs w:val="16"/>
      </w:rPr>
      <w:t xml:space="preserve">Sorogan-Based Learning </w:t>
    </w:r>
    <w:proofErr w:type="gramStart"/>
    <w:r w:rsidRPr="004C0786">
      <w:rPr>
        <w:i/>
        <w:sz w:val="16"/>
        <w:szCs w:val="16"/>
      </w:rPr>
      <w:t>To</w:t>
    </w:r>
    <w:proofErr w:type="gramEnd"/>
    <w:r w:rsidRPr="004C0786">
      <w:rPr>
        <w:i/>
        <w:sz w:val="16"/>
        <w:szCs w:val="16"/>
      </w:rPr>
      <w:t xml:space="preserve"> Stimulate Early Counting Skills</w:t>
    </w:r>
    <w:r w:rsidR="009D73D5">
      <w:rPr>
        <w:i/>
        <w:sz w:val="16"/>
        <w:szCs w:val="16"/>
      </w:rPr>
      <w:tab/>
      <w:t xml:space="preserve">       </w:t>
    </w:r>
    <w:r w:rsidR="009D73D5">
      <w:rPr>
        <w:sz w:val="16"/>
        <w:szCs w:val="16"/>
      </w:rPr>
      <w:fldChar w:fldCharType="begin"/>
    </w:r>
    <w:r w:rsidR="009D73D5">
      <w:rPr>
        <w:sz w:val="16"/>
        <w:szCs w:val="16"/>
      </w:rPr>
      <w:instrText>PAGE</w:instrText>
    </w:r>
    <w:r w:rsidR="009D73D5">
      <w:rPr>
        <w:sz w:val="16"/>
        <w:szCs w:val="16"/>
      </w:rPr>
      <w:fldChar w:fldCharType="separate"/>
    </w:r>
    <w:r w:rsidR="00F11F0B">
      <w:rPr>
        <w:noProof/>
        <w:sz w:val="16"/>
        <w:szCs w:val="16"/>
      </w:rPr>
      <w:t>3</w:t>
    </w:r>
    <w:r w:rsidR="009D73D5">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E3AE" w14:textId="15E63A96" w:rsidR="00505DD5" w:rsidRDefault="009D73D5">
    <w:pPr>
      <w:tabs>
        <w:tab w:val="left" w:pos="8647"/>
      </w:tabs>
      <w:spacing w:before="0"/>
      <w:rPr>
        <w:b/>
        <w:i/>
        <w:sz w:val="20"/>
        <w:szCs w:val="20"/>
      </w:rPr>
    </w:pPr>
    <w:r>
      <w:rPr>
        <w:rFonts w:ascii="Cambria" w:eastAsia="Cambria" w:hAnsi="Cambria" w:cs="Cambria"/>
        <w:i/>
        <w:sz w:val="16"/>
        <w:szCs w:val="16"/>
      </w:rPr>
      <w:t xml:space="preserve">* Corresponding Author: </w:t>
    </w:r>
    <w:r w:rsidR="008808C4">
      <w:rPr>
        <w:rFonts w:ascii="Cambria" w:eastAsia="Cambria" w:hAnsi="Cambria" w:cs="Cambria"/>
        <w:i/>
        <w:sz w:val="16"/>
        <w:szCs w:val="16"/>
      </w:rPr>
      <w:t>Sumaji</w:t>
    </w:r>
    <w:r>
      <w:rPr>
        <w:rFonts w:ascii="Cambria" w:eastAsia="Cambria" w:hAnsi="Cambria" w:cs="Cambria"/>
        <w:i/>
        <w:sz w:val="16"/>
        <w:szCs w:val="16"/>
      </w:rPr>
      <w:t xml:space="preserve">: </w:t>
    </w:r>
    <w:hyperlink r:id="rId1">
      <w:r>
        <w:t xml:space="preserve"> </w:t>
      </w:r>
    </w:hyperlink>
    <w:hyperlink r:id="rId2" w:history="1">
      <w:r w:rsidR="008808C4" w:rsidRPr="00936FD9">
        <w:rPr>
          <w:rStyle w:val="Hyperlink"/>
          <w:i/>
          <w:sz w:val="18"/>
          <w:szCs w:val="18"/>
        </w:rPr>
        <w:t xml:space="preserve">majisutoyo@email.com </w:t>
      </w:r>
    </w:hyperlink>
    <w:r>
      <w:rPr>
        <w:i/>
        <w:sz w:val="16"/>
        <w:szCs w:val="16"/>
      </w:rPr>
      <w:tab/>
      <w:t xml:space="preserve">    </w:t>
    </w:r>
    <w:r>
      <w:rPr>
        <w:sz w:val="16"/>
        <w:szCs w:val="16"/>
      </w:rPr>
      <w:fldChar w:fldCharType="begin"/>
    </w:r>
    <w:r>
      <w:rPr>
        <w:sz w:val="16"/>
        <w:szCs w:val="16"/>
      </w:rPr>
      <w:instrText>PAGE</w:instrText>
    </w:r>
    <w:r>
      <w:rPr>
        <w:sz w:val="16"/>
        <w:szCs w:val="16"/>
      </w:rPr>
      <w:fldChar w:fldCharType="separate"/>
    </w:r>
    <w:r w:rsidR="00F11F0B">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AC2E8" w14:textId="77777777" w:rsidR="00D72256" w:rsidRDefault="00D72256">
      <w:pPr>
        <w:spacing w:before="0" w:line="240" w:lineRule="auto"/>
      </w:pPr>
      <w:r>
        <w:separator/>
      </w:r>
    </w:p>
  </w:footnote>
  <w:footnote w:type="continuationSeparator" w:id="0">
    <w:p w14:paraId="26C3E006" w14:textId="77777777" w:rsidR="00D72256" w:rsidRDefault="00D7225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3EDA" w14:textId="6074DD15" w:rsidR="00505DD5" w:rsidRPr="00DC5089" w:rsidRDefault="008808C4" w:rsidP="00DC5089">
    <w:pPr>
      <w:pBdr>
        <w:bottom w:val="single" w:sz="4" w:space="0" w:color="000000"/>
      </w:pBdr>
      <w:spacing w:before="0" w:line="240" w:lineRule="auto"/>
      <w:ind w:right="-2"/>
      <w:jc w:val="center"/>
      <w:rPr>
        <w:b/>
        <w:sz w:val="16"/>
        <w:szCs w:val="16"/>
      </w:rPr>
    </w:pPr>
    <w:r>
      <w:rPr>
        <w:sz w:val="16"/>
        <w:szCs w:val="16"/>
      </w:rPr>
      <w:t>Osfir C</w:t>
    </w:r>
    <w:r w:rsidR="00305F47">
      <w:rPr>
        <w:sz w:val="16"/>
        <w:szCs w:val="16"/>
      </w:rPr>
      <w:t>andikia Rara Komara</w:t>
    </w:r>
    <w:r w:rsidR="009D73D5">
      <w:rPr>
        <w:sz w:val="16"/>
        <w:szCs w:val="16"/>
      </w:rPr>
      <w:t xml:space="preserve">, </w:t>
    </w:r>
    <w:r w:rsidR="00AC73DE">
      <w:rPr>
        <w:sz w:val="16"/>
        <w:szCs w:val="16"/>
      </w:rPr>
      <w:t>Sumaji</w:t>
    </w:r>
    <w:r w:rsidR="009D73D5">
      <w:rPr>
        <w:sz w:val="16"/>
        <w:szCs w:val="16"/>
        <w:vertAlign w:val="superscript"/>
      </w:rPr>
      <w:t xml:space="preserve"> </w:t>
    </w:r>
    <w:r w:rsidR="004D3E64">
      <w:rPr>
        <w:sz w:val="16"/>
        <w:szCs w:val="16"/>
      </w:rPr>
      <w:t>(2023</w:t>
    </w:r>
    <w:r w:rsidR="009D73D5">
      <w:rPr>
        <w:sz w:val="16"/>
        <w:szCs w:val="16"/>
      </w:rPr>
      <w:t xml:space="preserve">). </w:t>
    </w:r>
    <w:r w:rsidR="00DC5089">
      <w:rPr>
        <w:sz w:val="16"/>
        <w:szCs w:val="16"/>
      </w:rPr>
      <w:t xml:space="preserve"> </w:t>
    </w:r>
    <w:r w:rsidR="00F11F0B" w:rsidRPr="00F11F0B">
      <w:rPr>
        <w:sz w:val="16"/>
        <w:szCs w:val="16"/>
      </w:rPr>
      <w:t>Journal for Lesson and Learning Studies</w:t>
    </w:r>
    <w:r w:rsidR="00F11F0B">
      <w:rPr>
        <w:sz w:val="16"/>
        <w:szCs w:val="16"/>
      </w:rPr>
      <w:t>. Vol. 5(3</w:t>
    </w:r>
    <w:r w:rsidR="009D73D5">
      <w:rPr>
        <w:sz w:val="16"/>
        <w:szCs w:val="16"/>
      </w:rPr>
      <w:t>) PP. 319-325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8B6B" w14:textId="699EC64A" w:rsidR="00505DD5" w:rsidRPr="00DC5089" w:rsidRDefault="00AC73DE" w:rsidP="00DC5089">
    <w:pPr>
      <w:pBdr>
        <w:bottom w:val="single" w:sz="4" w:space="0" w:color="000000"/>
      </w:pBdr>
      <w:spacing w:before="0" w:line="240" w:lineRule="auto"/>
      <w:ind w:right="-2"/>
      <w:jc w:val="center"/>
      <w:rPr>
        <w:b/>
        <w:sz w:val="16"/>
        <w:szCs w:val="16"/>
      </w:rPr>
    </w:pPr>
    <w:r>
      <w:rPr>
        <w:sz w:val="16"/>
        <w:szCs w:val="16"/>
      </w:rPr>
      <w:t xml:space="preserve">Osfir Candikia Rara Komara, Sumaji </w:t>
    </w:r>
    <w:r w:rsidR="004D3E64">
      <w:rPr>
        <w:sz w:val="16"/>
        <w:szCs w:val="16"/>
      </w:rPr>
      <w:t>(2023</w:t>
    </w:r>
    <w:r w:rsidR="00F11F0B" w:rsidRPr="00F11F0B">
      <w:rPr>
        <w:color w:val="000000"/>
        <w:sz w:val="18"/>
        <w:szCs w:val="18"/>
      </w:rPr>
      <w:t xml:space="preserve"> Journal for Lesson and Learning Studies</w:t>
    </w:r>
    <w:r w:rsidR="00F11F0B">
      <w:rPr>
        <w:sz w:val="16"/>
        <w:szCs w:val="16"/>
      </w:rPr>
      <w:t>. Vol. 5(3</w:t>
    </w:r>
    <w:r w:rsidR="009D73D5">
      <w:rPr>
        <w:sz w:val="16"/>
        <w:szCs w:val="16"/>
      </w:rPr>
      <w:t>) PP. 319-325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9180" w14:textId="748148D7" w:rsidR="00505DD5" w:rsidRPr="00F11F0B" w:rsidRDefault="00AA716D">
    <w:pPr>
      <w:pBdr>
        <w:top w:val="single" w:sz="4" w:space="1" w:color="000000"/>
      </w:pBdr>
      <w:spacing w:before="0" w:line="240" w:lineRule="auto"/>
      <w:jc w:val="left"/>
      <w:rPr>
        <w:rFonts w:ascii="Cambria" w:eastAsia="Cambria" w:hAnsi="Cambria" w:cs="Cambria"/>
        <w:b/>
        <w:sz w:val="14"/>
        <w:szCs w:val="14"/>
      </w:rPr>
    </w:pPr>
    <w:r>
      <w:rPr>
        <w:b/>
        <w:noProof/>
      </w:rPr>
      <w:drawing>
        <wp:anchor distT="0" distB="0" distL="114300" distR="114300" simplePos="0" relativeHeight="251657728" behindDoc="1" locked="0" layoutInCell="1" allowOverlap="1" wp14:anchorId="6964FC3C" wp14:editId="0A5EDE42">
          <wp:simplePos x="0" y="0"/>
          <wp:positionH relativeFrom="column">
            <wp:posOffset>5233670</wp:posOffset>
          </wp:positionH>
          <wp:positionV relativeFrom="paragraph">
            <wp:posOffset>17145</wp:posOffset>
          </wp:positionV>
          <wp:extent cx="542925" cy="656590"/>
          <wp:effectExtent l="0" t="0" r="9525" b="0"/>
          <wp:wrapTight wrapText="bothSides">
            <wp:wrapPolygon edited="0">
              <wp:start x="0" y="0"/>
              <wp:lineTo x="0" y="20681"/>
              <wp:lineTo x="21221" y="20681"/>
              <wp:lineTo x="212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56590"/>
                  </a:xfrm>
                  <a:prstGeom prst="rect">
                    <a:avLst/>
                  </a:prstGeom>
                  <a:noFill/>
                </pic:spPr>
              </pic:pic>
            </a:graphicData>
          </a:graphic>
          <wp14:sizeRelH relativeFrom="page">
            <wp14:pctWidth>0</wp14:pctWidth>
          </wp14:sizeRelH>
          <wp14:sizeRelV relativeFrom="page">
            <wp14:pctHeight>0</wp14:pctHeight>
          </wp14:sizeRelV>
        </wp:anchor>
      </w:drawing>
    </w:r>
  </w:p>
  <w:p w14:paraId="30ADD496" w14:textId="77777777" w:rsidR="00DC5089" w:rsidRPr="00F11F0B" w:rsidRDefault="00F11F0B">
    <w:pPr>
      <w:spacing w:before="0" w:line="240" w:lineRule="auto"/>
      <w:jc w:val="left"/>
      <w:rPr>
        <w:rFonts w:asciiTheme="majorHAnsi" w:eastAsia="Cambria" w:hAnsiTheme="majorHAnsi" w:cs="Cambria"/>
        <w:b/>
        <w:sz w:val="20"/>
        <w:szCs w:val="20"/>
      </w:rPr>
    </w:pPr>
    <w:bookmarkStart w:id="3" w:name="_heading=h.1fob9te" w:colFirst="0" w:colLast="0"/>
    <w:bookmarkEnd w:id="3"/>
    <w:r w:rsidRPr="00F11F0B">
      <w:rPr>
        <w:rFonts w:asciiTheme="majorHAnsi" w:eastAsia="Cambria" w:hAnsiTheme="majorHAnsi" w:cs="Cambria"/>
        <w:b/>
        <w:sz w:val="20"/>
        <w:szCs w:val="20"/>
      </w:rPr>
      <w:t>Journal for Lesson and Learning Studies</w:t>
    </w:r>
  </w:p>
  <w:p w14:paraId="17C1465A" w14:textId="77777777" w:rsidR="00505DD5" w:rsidRDefault="00F11F0B">
    <w:pPr>
      <w:spacing w:before="0" w:line="240" w:lineRule="auto"/>
      <w:jc w:val="left"/>
      <w:rPr>
        <w:rFonts w:ascii="Cambria" w:eastAsia="Cambria" w:hAnsi="Cambria" w:cs="Cambria"/>
        <w:sz w:val="14"/>
        <w:szCs w:val="14"/>
      </w:rPr>
    </w:pPr>
    <w:r>
      <w:rPr>
        <w:rFonts w:ascii="Cambria" w:eastAsia="Cambria" w:hAnsi="Cambria" w:cs="Cambria"/>
        <w:sz w:val="14"/>
        <w:szCs w:val="14"/>
      </w:rPr>
      <w:t>Volume 5</w:t>
    </w:r>
    <w:r w:rsidR="009D73D5">
      <w:rPr>
        <w:rFonts w:ascii="Cambria" w:eastAsia="Cambria" w:hAnsi="Cambria" w:cs="Cambria"/>
        <w:sz w:val="14"/>
        <w:szCs w:val="14"/>
      </w:rPr>
      <w:t xml:space="preserve">, </w:t>
    </w:r>
    <w:r>
      <w:rPr>
        <w:rFonts w:ascii="Cambria" w:eastAsia="Cambria" w:hAnsi="Cambria" w:cs="Cambria"/>
        <w:sz w:val="14"/>
        <w:szCs w:val="14"/>
      </w:rPr>
      <w:t>Number 3, 2022</w:t>
    </w:r>
    <w:r w:rsidR="004D3E64">
      <w:rPr>
        <w:rFonts w:ascii="Cambria" w:eastAsia="Cambria" w:hAnsi="Cambria" w:cs="Cambria"/>
        <w:sz w:val="14"/>
        <w:szCs w:val="14"/>
      </w:rPr>
      <w:t xml:space="preserve"> pp. xx-xx</w:t>
    </w:r>
  </w:p>
  <w:p w14:paraId="6CB4A596" w14:textId="77777777" w:rsidR="00505DD5" w:rsidRDefault="009D73D5">
    <w:pPr>
      <w:spacing w:before="0" w:line="240" w:lineRule="auto"/>
      <w:jc w:val="left"/>
      <w:rPr>
        <w:rFonts w:ascii="Cambria" w:eastAsia="Cambria" w:hAnsi="Cambria" w:cs="Cambria"/>
        <w:sz w:val="14"/>
        <w:szCs w:val="14"/>
      </w:rPr>
    </w:pPr>
    <w:r>
      <w:rPr>
        <w:rFonts w:ascii="Cambria" w:eastAsia="Cambria" w:hAnsi="Cambria" w:cs="Cambria"/>
        <w:sz w:val="14"/>
        <w:szCs w:val="14"/>
      </w:rPr>
      <w:t>P-IS</w:t>
    </w:r>
    <w:r w:rsidR="00DC5089">
      <w:rPr>
        <w:rFonts w:ascii="Cambria" w:eastAsia="Cambria" w:hAnsi="Cambria" w:cs="Cambria"/>
        <w:sz w:val="14"/>
        <w:szCs w:val="14"/>
      </w:rPr>
      <w:t xml:space="preserve">SN:  </w:t>
    </w:r>
    <w:r w:rsidR="00F11F0B" w:rsidRPr="00F11F0B">
      <w:rPr>
        <w:rFonts w:ascii="Cambria" w:eastAsia="Cambria" w:hAnsi="Cambria" w:cs="Cambria"/>
        <w:sz w:val="14"/>
        <w:szCs w:val="14"/>
      </w:rPr>
      <w:t>2615-6148</w:t>
    </w:r>
    <w:r w:rsidR="00DC5089">
      <w:rPr>
        <w:rFonts w:ascii="Cambria" w:eastAsia="Cambria" w:hAnsi="Cambria" w:cs="Cambria"/>
        <w:sz w:val="14"/>
        <w:szCs w:val="14"/>
      </w:rPr>
      <w:t xml:space="preserve"> E-</w:t>
    </w:r>
    <w:proofErr w:type="gramStart"/>
    <w:r w:rsidR="00DC5089">
      <w:rPr>
        <w:rFonts w:ascii="Cambria" w:eastAsia="Cambria" w:hAnsi="Cambria" w:cs="Cambria"/>
        <w:sz w:val="14"/>
        <w:szCs w:val="14"/>
      </w:rPr>
      <w:t>ISSN :</w:t>
    </w:r>
    <w:proofErr w:type="gramEnd"/>
    <w:r w:rsidR="00DC5089">
      <w:rPr>
        <w:rFonts w:ascii="Cambria" w:eastAsia="Cambria" w:hAnsi="Cambria" w:cs="Cambria"/>
        <w:sz w:val="14"/>
        <w:szCs w:val="14"/>
      </w:rPr>
      <w:t xml:space="preserve"> </w:t>
    </w:r>
    <w:r w:rsidR="00F11F0B" w:rsidRPr="00F11F0B">
      <w:rPr>
        <w:rFonts w:ascii="Cambria" w:eastAsia="Cambria" w:hAnsi="Cambria" w:cs="Cambria"/>
        <w:sz w:val="14"/>
        <w:szCs w:val="14"/>
      </w:rPr>
      <w:t>2615-7330</w:t>
    </w:r>
  </w:p>
  <w:p w14:paraId="694162DA" w14:textId="77777777" w:rsidR="00505DD5" w:rsidRDefault="009D73D5">
    <w:pPr>
      <w:pBdr>
        <w:bottom w:val="single" w:sz="12" w:space="1" w:color="000000"/>
      </w:pBdr>
      <w:spacing w:before="0" w:line="240" w:lineRule="auto"/>
      <w:jc w:val="left"/>
      <w:rPr>
        <w:rFonts w:ascii="Cambria" w:eastAsia="Cambria" w:hAnsi="Cambria" w:cs="Cambria"/>
        <w:color w:val="0070C0"/>
        <w:sz w:val="14"/>
        <w:szCs w:val="14"/>
      </w:rPr>
    </w:pPr>
    <w:r>
      <w:rPr>
        <w:rFonts w:ascii="Cambria" w:eastAsia="Cambria" w:hAnsi="Cambria" w:cs="Cambria"/>
        <w:sz w:val="14"/>
        <w:szCs w:val="14"/>
      </w:rPr>
      <w:t>Open Access:</w:t>
    </w:r>
    <w:r w:rsidR="00F11F0B">
      <w:t xml:space="preserve"> </w:t>
    </w:r>
    <w:hyperlink r:id="rId2" w:history="1">
      <w:r w:rsidR="00F11F0B" w:rsidRPr="00A86D84">
        <w:rPr>
          <w:rStyle w:val="Hyperlink"/>
          <w:rFonts w:ascii="Cambria" w:eastAsia="Cambria" w:hAnsi="Cambria" w:cs="Cambria"/>
          <w:sz w:val="14"/>
          <w:szCs w:val="14"/>
        </w:rPr>
        <w:t>https://ejournal.undiksha.ac.id/index.php/JLLS</w:t>
      </w:r>
    </w:hyperlink>
    <w:r w:rsidR="00F11F0B">
      <w:rPr>
        <w:rFonts w:ascii="Cambria" w:eastAsia="Cambria" w:hAnsi="Cambria" w:cs="Cambria"/>
        <w:sz w:val="14"/>
        <w:szCs w:val="14"/>
      </w:rPr>
      <w:t xml:space="preserve"> </w:t>
    </w:r>
    <w:r w:rsidR="008B4D9C">
      <w:rPr>
        <w:rFonts w:ascii="Cambria" w:eastAsia="Cambria" w:hAnsi="Cambria" w:cs="Cambria"/>
        <w:sz w:val="14"/>
        <w:szCs w:val="14"/>
      </w:rPr>
      <w:t xml:space="preserve"> </w:t>
    </w:r>
    <w:r w:rsidR="00DC5089">
      <w:rPr>
        <w:rFonts w:ascii="Cambria" w:eastAsia="Cambria" w:hAnsi="Cambria" w:cs="Cambria"/>
        <w:sz w:val="14"/>
        <w:szCs w:val="14"/>
      </w:rPr>
      <w:t xml:space="preserve"> </w:t>
    </w:r>
  </w:p>
  <w:p w14:paraId="0C7A2CAD" w14:textId="77777777" w:rsidR="00505DD5" w:rsidRDefault="00505DD5">
    <w:pPr>
      <w:pBdr>
        <w:bottom w:val="single" w:sz="12" w:space="1" w:color="000000"/>
      </w:pBdr>
      <w:spacing w:before="0" w:line="240" w:lineRule="auto"/>
      <w:jc w:val="left"/>
      <w:rPr>
        <w:rFonts w:ascii="Cambria" w:eastAsia="Cambria" w:hAnsi="Cambria" w:cs="Cambria"/>
        <w:sz w:val="14"/>
        <w:szCs w:val="14"/>
      </w:rPr>
    </w:pPr>
  </w:p>
  <w:p w14:paraId="46109667" w14:textId="77777777" w:rsidR="00505DD5" w:rsidRDefault="00505DD5">
    <w:pPr>
      <w:pBdr>
        <w:top w:val="nil"/>
        <w:left w:val="nil"/>
        <w:bottom w:val="nil"/>
        <w:right w:val="nil"/>
        <w:between w:val="nil"/>
      </w:pBdr>
      <w:tabs>
        <w:tab w:val="right" w:pos="9270"/>
      </w:tabs>
      <w:spacing w:before="0" w:line="240" w:lineRule="auto"/>
      <w:ind w:right="158"/>
      <w:rPr>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56E1"/>
    <w:multiLevelType w:val="multilevel"/>
    <w:tmpl w:val="562074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F80132"/>
    <w:multiLevelType w:val="multilevel"/>
    <w:tmpl w:val="2F1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850B36"/>
    <w:multiLevelType w:val="multilevel"/>
    <w:tmpl w:val="96362A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D5"/>
    <w:rsid w:val="00000725"/>
    <w:rsid w:val="00001AEA"/>
    <w:rsid w:val="000045EC"/>
    <w:rsid w:val="00016B1D"/>
    <w:rsid w:val="00016F56"/>
    <w:rsid w:val="00016FBD"/>
    <w:rsid w:val="00017DB3"/>
    <w:rsid w:val="00024AD1"/>
    <w:rsid w:val="000363D6"/>
    <w:rsid w:val="00044D4C"/>
    <w:rsid w:val="000549F8"/>
    <w:rsid w:val="00056AED"/>
    <w:rsid w:val="00056FC9"/>
    <w:rsid w:val="0006059A"/>
    <w:rsid w:val="00066E7E"/>
    <w:rsid w:val="00073127"/>
    <w:rsid w:val="00076449"/>
    <w:rsid w:val="0007698E"/>
    <w:rsid w:val="00080557"/>
    <w:rsid w:val="000808F6"/>
    <w:rsid w:val="00093EC2"/>
    <w:rsid w:val="000B1979"/>
    <w:rsid w:val="000B2479"/>
    <w:rsid w:val="000B3DEE"/>
    <w:rsid w:val="000C2757"/>
    <w:rsid w:val="000C3EEA"/>
    <w:rsid w:val="000D1EAD"/>
    <w:rsid w:val="000D3EBF"/>
    <w:rsid w:val="000D4752"/>
    <w:rsid w:val="000D5957"/>
    <w:rsid w:val="000D7D02"/>
    <w:rsid w:val="000E261A"/>
    <w:rsid w:val="000E310B"/>
    <w:rsid w:val="000E40D1"/>
    <w:rsid w:val="000E530B"/>
    <w:rsid w:val="000F0B33"/>
    <w:rsid w:val="000F0F7C"/>
    <w:rsid w:val="00101B86"/>
    <w:rsid w:val="00106595"/>
    <w:rsid w:val="00112894"/>
    <w:rsid w:val="00113EEA"/>
    <w:rsid w:val="00117D69"/>
    <w:rsid w:val="00125C9A"/>
    <w:rsid w:val="0013239D"/>
    <w:rsid w:val="00135459"/>
    <w:rsid w:val="00142912"/>
    <w:rsid w:val="00144C3F"/>
    <w:rsid w:val="001466E5"/>
    <w:rsid w:val="00147F3F"/>
    <w:rsid w:val="00151EBE"/>
    <w:rsid w:val="00152341"/>
    <w:rsid w:val="00156A51"/>
    <w:rsid w:val="00162000"/>
    <w:rsid w:val="0017079A"/>
    <w:rsid w:val="00172DF2"/>
    <w:rsid w:val="00173509"/>
    <w:rsid w:val="00175010"/>
    <w:rsid w:val="00184129"/>
    <w:rsid w:val="00187718"/>
    <w:rsid w:val="00191A5E"/>
    <w:rsid w:val="001A166E"/>
    <w:rsid w:val="001A317B"/>
    <w:rsid w:val="001A50CD"/>
    <w:rsid w:val="001A5587"/>
    <w:rsid w:val="001A742F"/>
    <w:rsid w:val="001B1657"/>
    <w:rsid w:val="001C3839"/>
    <w:rsid w:val="001D2014"/>
    <w:rsid w:val="001D4E30"/>
    <w:rsid w:val="001D6DE2"/>
    <w:rsid w:val="001E10A9"/>
    <w:rsid w:val="001E6EB4"/>
    <w:rsid w:val="001F021A"/>
    <w:rsid w:val="001F70E3"/>
    <w:rsid w:val="002016E7"/>
    <w:rsid w:val="00204204"/>
    <w:rsid w:val="00206556"/>
    <w:rsid w:val="00215425"/>
    <w:rsid w:val="0021695F"/>
    <w:rsid w:val="00216E2C"/>
    <w:rsid w:val="00217BCD"/>
    <w:rsid w:val="002208D0"/>
    <w:rsid w:val="00222EF8"/>
    <w:rsid w:val="00223CDC"/>
    <w:rsid w:val="00226EA9"/>
    <w:rsid w:val="00241FCA"/>
    <w:rsid w:val="0026483D"/>
    <w:rsid w:val="00266FD1"/>
    <w:rsid w:val="00270DD2"/>
    <w:rsid w:val="002766BE"/>
    <w:rsid w:val="00280A85"/>
    <w:rsid w:val="002826A9"/>
    <w:rsid w:val="00283910"/>
    <w:rsid w:val="002872B0"/>
    <w:rsid w:val="00287342"/>
    <w:rsid w:val="00290FFE"/>
    <w:rsid w:val="00291850"/>
    <w:rsid w:val="00293D0E"/>
    <w:rsid w:val="002B3644"/>
    <w:rsid w:val="002B384A"/>
    <w:rsid w:val="002B48BF"/>
    <w:rsid w:val="002B7BEF"/>
    <w:rsid w:val="002C5935"/>
    <w:rsid w:val="002D02BC"/>
    <w:rsid w:val="002D15E6"/>
    <w:rsid w:val="002D4EF7"/>
    <w:rsid w:val="002D581D"/>
    <w:rsid w:val="002D6129"/>
    <w:rsid w:val="002E23EA"/>
    <w:rsid w:val="002E459C"/>
    <w:rsid w:val="002F38F6"/>
    <w:rsid w:val="002F4402"/>
    <w:rsid w:val="002F5525"/>
    <w:rsid w:val="002F5CFD"/>
    <w:rsid w:val="002F6F67"/>
    <w:rsid w:val="002F7E15"/>
    <w:rsid w:val="00305F47"/>
    <w:rsid w:val="00310E34"/>
    <w:rsid w:val="00312619"/>
    <w:rsid w:val="00312927"/>
    <w:rsid w:val="00315F9D"/>
    <w:rsid w:val="00316FA7"/>
    <w:rsid w:val="003208CA"/>
    <w:rsid w:val="00325DB4"/>
    <w:rsid w:val="00327499"/>
    <w:rsid w:val="003279D2"/>
    <w:rsid w:val="00327F1B"/>
    <w:rsid w:val="0033075E"/>
    <w:rsid w:val="00335F12"/>
    <w:rsid w:val="003408DF"/>
    <w:rsid w:val="00340CAB"/>
    <w:rsid w:val="00347509"/>
    <w:rsid w:val="00352E81"/>
    <w:rsid w:val="0036291F"/>
    <w:rsid w:val="00363181"/>
    <w:rsid w:val="00366A02"/>
    <w:rsid w:val="0037092E"/>
    <w:rsid w:val="003738E2"/>
    <w:rsid w:val="00375BFD"/>
    <w:rsid w:val="00377F8E"/>
    <w:rsid w:val="0039123D"/>
    <w:rsid w:val="0039482E"/>
    <w:rsid w:val="0039492C"/>
    <w:rsid w:val="0039592C"/>
    <w:rsid w:val="00397A5E"/>
    <w:rsid w:val="003B157E"/>
    <w:rsid w:val="003B18FF"/>
    <w:rsid w:val="003B1EF1"/>
    <w:rsid w:val="003B52E8"/>
    <w:rsid w:val="003C0CCC"/>
    <w:rsid w:val="003C3F6D"/>
    <w:rsid w:val="003C7645"/>
    <w:rsid w:val="003D0EAA"/>
    <w:rsid w:val="003E0D01"/>
    <w:rsid w:val="003E16C4"/>
    <w:rsid w:val="003E40E6"/>
    <w:rsid w:val="003E413C"/>
    <w:rsid w:val="003F273F"/>
    <w:rsid w:val="003F7E02"/>
    <w:rsid w:val="0040139C"/>
    <w:rsid w:val="00401B77"/>
    <w:rsid w:val="00402BFB"/>
    <w:rsid w:val="004039AB"/>
    <w:rsid w:val="004065A9"/>
    <w:rsid w:val="00407CD7"/>
    <w:rsid w:val="00416878"/>
    <w:rsid w:val="00416A0F"/>
    <w:rsid w:val="00422351"/>
    <w:rsid w:val="00423EC9"/>
    <w:rsid w:val="00424664"/>
    <w:rsid w:val="00430AED"/>
    <w:rsid w:val="004319D9"/>
    <w:rsid w:val="00436C74"/>
    <w:rsid w:val="004445D9"/>
    <w:rsid w:val="00451ADE"/>
    <w:rsid w:val="00464F52"/>
    <w:rsid w:val="0046619A"/>
    <w:rsid w:val="004661A7"/>
    <w:rsid w:val="00470301"/>
    <w:rsid w:val="00472D4A"/>
    <w:rsid w:val="004765F3"/>
    <w:rsid w:val="004836AB"/>
    <w:rsid w:val="0048549A"/>
    <w:rsid w:val="00486D59"/>
    <w:rsid w:val="00492A88"/>
    <w:rsid w:val="00494A39"/>
    <w:rsid w:val="004A0D37"/>
    <w:rsid w:val="004A1FCF"/>
    <w:rsid w:val="004A773E"/>
    <w:rsid w:val="004B0EC4"/>
    <w:rsid w:val="004B6DD2"/>
    <w:rsid w:val="004C0786"/>
    <w:rsid w:val="004D152E"/>
    <w:rsid w:val="004D3E64"/>
    <w:rsid w:val="004D62C6"/>
    <w:rsid w:val="004D7AA1"/>
    <w:rsid w:val="004E1319"/>
    <w:rsid w:val="004E45D6"/>
    <w:rsid w:val="004E7B8B"/>
    <w:rsid w:val="004F017D"/>
    <w:rsid w:val="004F521D"/>
    <w:rsid w:val="004F6D9C"/>
    <w:rsid w:val="0050147F"/>
    <w:rsid w:val="0050244A"/>
    <w:rsid w:val="00504ED0"/>
    <w:rsid w:val="00505DD5"/>
    <w:rsid w:val="005061AE"/>
    <w:rsid w:val="00506719"/>
    <w:rsid w:val="00510811"/>
    <w:rsid w:val="005122AB"/>
    <w:rsid w:val="0052425D"/>
    <w:rsid w:val="005250D3"/>
    <w:rsid w:val="005266F3"/>
    <w:rsid w:val="00542887"/>
    <w:rsid w:val="005514F6"/>
    <w:rsid w:val="00553372"/>
    <w:rsid w:val="0056118E"/>
    <w:rsid w:val="00562805"/>
    <w:rsid w:val="0056501B"/>
    <w:rsid w:val="00572922"/>
    <w:rsid w:val="00575D78"/>
    <w:rsid w:val="005831CB"/>
    <w:rsid w:val="00590EDE"/>
    <w:rsid w:val="00590F55"/>
    <w:rsid w:val="00591997"/>
    <w:rsid w:val="00591B76"/>
    <w:rsid w:val="0059416B"/>
    <w:rsid w:val="005966DD"/>
    <w:rsid w:val="005A0182"/>
    <w:rsid w:val="005A288D"/>
    <w:rsid w:val="005A4A41"/>
    <w:rsid w:val="005B4E34"/>
    <w:rsid w:val="005C3CE6"/>
    <w:rsid w:val="005D7E2B"/>
    <w:rsid w:val="005E43BE"/>
    <w:rsid w:val="005E55EA"/>
    <w:rsid w:val="005F091B"/>
    <w:rsid w:val="005F4DD7"/>
    <w:rsid w:val="005F5489"/>
    <w:rsid w:val="005F5E50"/>
    <w:rsid w:val="006003F4"/>
    <w:rsid w:val="00601BB8"/>
    <w:rsid w:val="00602A11"/>
    <w:rsid w:val="00611D18"/>
    <w:rsid w:val="0062263A"/>
    <w:rsid w:val="0063141C"/>
    <w:rsid w:val="00631CFD"/>
    <w:rsid w:val="006321FC"/>
    <w:rsid w:val="00635C56"/>
    <w:rsid w:val="00647241"/>
    <w:rsid w:val="00655E64"/>
    <w:rsid w:val="00660838"/>
    <w:rsid w:val="0067481E"/>
    <w:rsid w:val="00677FC9"/>
    <w:rsid w:val="00682080"/>
    <w:rsid w:val="006849A7"/>
    <w:rsid w:val="00690E35"/>
    <w:rsid w:val="00695D69"/>
    <w:rsid w:val="00697DDC"/>
    <w:rsid w:val="006A3B17"/>
    <w:rsid w:val="006B0443"/>
    <w:rsid w:val="006B265F"/>
    <w:rsid w:val="006B3146"/>
    <w:rsid w:val="006B4249"/>
    <w:rsid w:val="006B70BE"/>
    <w:rsid w:val="006C47CE"/>
    <w:rsid w:val="006C6F65"/>
    <w:rsid w:val="006D2091"/>
    <w:rsid w:val="006D5E26"/>
    <w:rsid w:val="006E4567"/>
    <w:rsid w:val="006F31F0"/>
    <w:rsid w:val="006F6619"/>
    <w:rsid w:val="00705872"/>
    <w:rsid w:val="00705989"/>
    <w:rsid w:val="00712C68"/>
    <w:rsid w:val="0071434B"/>
    <w:rsid w:val="00716196"/>
    <w:rsid w:val="007171BF"/>
    <w:rsid w:val="0071758A"/>
    <w:rsid w:val="007229ED"/>
    <w:rsid w:val="00722C66"/>
    <w:rsid w:val="00723AD0"/>
    <w:rsid w:val="00723B36"/>
    <w:rsid w:val="00730043"/>
    <w:rsid w:val="00730736"/>
    <w:rsid w:val="007308FA"/>
    <w:rsid w:val="0073701D"/>
    <w:rsid w:val="007420EE"/>
    <w:rsid w:val="007432F0"/>
    <w:rsid w:val="007528E8"/>
    <w:rsid w:val="007552AE"/>
    <w:rsid w:val="00755CB4"/>
    <w:rsid w:val="00761B08"/>
    <w:rsid w:val="0076203C"/>
    <w:rsid w:val="007644D2"/>
    <w:rsid w:val="0077248C"/>
    <w:rsid w:val="007736D5"/>
    <w:rsid w:val="00775637"/>
    <w:rsid w:val="00776F07"/>
    <w:rsid w:val="00780BEC"/>
    <w:rsid w:val="00783D04"/>
    <w:rsid w:val="0078554D"/>
    <w:rsid w:val="007878E9"/>
    <w:rsid w:val="00790729"/>
    <w:rsid w:val="007935EB"/>
    <w:rsid w:val="007A0094"/>
    <w:rsid w:val="007A2083"/>
    <w:rsid w:val="007A281F"/>
    <w:rsid w:val="007A4EA9"/>
    <w:rsid w:val="007B1FBA"/>
    <w:rsid w:val="007B48C0"/>
    <w:rsid w:val="007B4BD5"/>
    <w:rsid w:val="007C1228"/>
    <w:rsid w:val="007C3597"/>
    <w:rsid w:val="007C7306"/>
    <w:rsid w:val="007D4202"/>
    <w:rsid w:val="007D472F"/>
    <w:rsid w:val="007D71D0"/>
    <w:rsid w:val="007E4F92"/>
    <w:rsid w:val="00801CAA"/>
    <w:rsid w:val="00802B75"/>
    <w:rsid w:val="00807803"/>
    <w:rsid w:val="00817DC8"/>
    <w:rsid w:val="00817F32"/>
    <w:rsid w:val="00820702"/>
    <w:rsid w:val="0082592C"/>
    <w:rsid w:val="00825E2E"/>
    <w:rsid w:val="00831E49"/>
    <w:rsid w:val="00832A58"/>
    <w:rsid w:val="00836636"/>
    <w:rsid w:val="00836907"/>
    <w:rsid w:val="00840348"/>
    <w:rsid w:val="00841EA1"/>
    <w:rsid w:val="00843413"/>
    <w:rsid w:val="00851DE9"/>
    <w:rsid w:val="008524A6"/>
    <w:rsid w:val="00857279"/>
    <w:rsid w:val="008648CC"/>
    <w:rsid w:val="0087167C"/>
    <w:rsid w:val="00876E4C"/>
    <w:rsid w:val="00877E93"/>
    <w:rsid w:val="008808C4"/>
    <w:rsid w:val="008850D2"/>
    <w:rsid w:val="00893550"/>
    <w:rsid w:val="00895546"/>
    <w:rsid w:val="00895983"/>
    <w:rsid w:val="008A02F9"/>
    <w:rsid w:val="008A5EFC"/>
    <w:rsid w:val="008A69CA"/>
    <w:rsid w:val="008B4D9C"/>
    <w:rsid w:val="008B73E2"/>
    <w:rsid w:val="008B7DE9"/>
    <w:rsid w:val="008C129D"/>
    <w:rsid w:val="008C4309"/>
    <w:rsid w:val="008C6D30"/>
    <w:rsid w:val="008D09A6"/>
    <w:rsid w:val="008D3570"/>
    <w:rsid w:val="008D38C3"/>
    <w:rsid w:val="008E1895"/>
    <w:rsid w:val="008E4C21"/>
    <w:rsid w:val="008F3619"/>
    <w:rsid w:val="00903B8A"/>
    <w:rsid w:val="00910F8A"/>
    <w:rsid w:val="00911364"/>
    <w:rsid w:val="00915587"/>
    <w:rsid w:val="00920AD2"/>
    <w:rsid w:val="00922078"/>
    <w:rsid w:val="00923B12"/>
    <w:rsid w:val="00927E6F"/>
    <w:rsid w:val="009300CE"/>
    <w:rsid w:val="00932921"/>
    <w:rsid w:val="0093387E"/>
    <w:rsid w:val="00935A83"/>
    <w:rsid w:val="00937D32"/>
    <w:rsid w:val="009424B0"/>
    <w:rsid w:val="00945971"/>
    <w:rsid w:val="00950247"/>
    <w:rsid w:val="009646D4"/>
    <w:rsid w:val="0097019E"/>
    <w:rsid w:val="009710AA"/>
    <w:rsid w:val="00972530"/>
    <w:rsid w:val="00990BB5"/>
    <w:rsid w:val="00992D44"/>
    <w:rsid w:val="00994E88"/>
    <w:rsid w:val="00995FC6"/>
    <w:rsid w:val="009979B2"/>
    <w:rsid w:val="009A016A"/>
    <w:rsid w:val="009A2617"/>
    <w:rsid w:val="009A3855"/>
    <w:rsid w:val="009A6037"/>
    <w:rsid w:val="009A6280"/>
    <w:rsid w:val="009A7F10"/>
    <w:rsid w:val="009B023F"/>
    <w:rsid w:val="009B429C"/>
    <w:rsid w:val="009B484B"/>
    <w:rsid w:val="009B4CDD"/>
    <w:rsid w:val="009C65DF"/>
    <w:rsid w:val="009D100B"/>
    <w:rsid w:val="009D185F"/>
    <w:rsid w:val="009D3DBB"/>
    <w:rsid w:val="009D73D5"/>
    <w:rsid w:val="009E7AF5"/>
    <w:rsid w:val="009F1C86"/>
    <w:rsid w:val="009F25D7"/>
    <w:rsid w:val="009F7559"/>
    <w:rsid w:val="00A01106"/>
    <w:rsid w:val="00A111A7"/>
    <w:rsid w:val="00A12C4B"/>
    <w:rsid w:val="00A176D1"/>
    <w:rsid w:val="00A17BF5"/>
    <w:rsid w:val="00A24216"/>
    <w:rsid w:val="00A2624C"/>
    <w:rsid w:val="00A27B4D"/>
    <w:rsid w:val="00A31F0A"/>
    <w:rsid w:val="00A36D73"/>
    <w:rsid w:val="00A407E4"/>
    <w:rsid w:val="00A46A05"/>
    <w:rsid w:val="00A46EF0"/>
    <w:rsid w:val="00A50A9F"/>
    <w:rsid w:val="00A50C1E"/>
    <w:rsid w:val="00A50E7D"/>
    <w:rsid w:val="00A52261"/>
    <w:rsid w:val="00A5407E"/>
    <w:rsid w:val="00A5578F"/>
    <w:rsid w:val="00A6117F"/>
    <w:rsid w:val="00A66A8E"/>
    <w:rsid w:val="00A71BB4"/>
    <w:rsid w:val="00A72926"/>
    <w:rsid w:val="00A72FDB"/>
    <w:rsid w:val="00A74A4A"/>
    <w:rsid w:val="00A761CD"/>
    <w:rsid w:val="00A76775"/>
    <w:rsid w:val="00A7677C"/>
    <w:rsid w:val="00A81E08"/>
    <w:rsid w:val="00A82574"/>
    <w:rsid w:val="00A93F7D"/>
    <w:rsid w:val="00A97174"/>
    <w:rsid w:val="00AA0851"/>
    <w:rsid w:val="00AA3D51"/>
    <w:rsid w:val="00AA716D"/>
    <w:rsid w:val="00AB35AD"/>
    <w:rsid w:val="00AB4247"/>
    <w:rsid w:val="00AB4607"/>
    <w:rsid w:val="00AB6915"/>
    <w:rsid w:val="00AC73DE"/>
    <w:rsid w:val="00AD402B"/>
    <w:rsid w:val="00AD5E82"/>
    <w:rsid w:val="00AE2347"/>
    <w:rsid w:val="00AE4D6B"/>
    <w:rsid w:val="00AE6023"/>
    <w:rsid w:val="00AF24B7"/>
    <w:rsid w:val="00AF4110"/>
    <w:rsid w:val="00AF43A9"/>
    <w:rsid w:val="00B02250"/>
    <w:rsid w:val="00B122BD"/>
    <w:rsid w:val="00B14003"/>
    <w:rsid w:val="00B205F6"/>
    <w:rsid w:val="00B20830"/>
    <w:rsid w:val="00B25C9D"/>
    <w:rsid w:val="00B2769D"/>
    <w:rsid w:val="00B3461B"/>
    <w:rsid w:val="00B35A9B"/>
    <w:rsid w:val="00B362CD"/>
    <w:rsid w:val="00B423D7"/>
    <w:rsid w:val="00B4490C"/>
    <w:rsid w:val="00B44DCC"/>
    <w:rsid w:val="00B524F1"/>
    <w:rsid w:val="00B53202"/>
    <w:rsid w:val="00B570CF"/>
    <w:rsid w:val="00B622A8"/>
    <w:rsid w:val="00B67BF4"/>
    <w:rsid w:val="00B7381C"/>
    <w:rsid w:val="00B77DD6"/>
    <w:rsid w:val="00B819D3"/>
    <w:rsid w:val="00B8339B"/>
    <w:rsid w:val="00B837BC"/>
    <w:rsid w:val="00B84849"/>
    <w:rsid w:val="00B8497D"/>
    <w:rsid w:val="00B93581"/>
    <w:rsid w:val="00B93714"/>
    <w:rsid w:val="00BA12FF"/>
    <w:rsid w:val="00BA49E2"/>
    <w:rsid w:val="00BA6E41"/>
    <w:rsid w:val="00BB1ED8"/>
    <w:rsid w:val="00BB334B"/>
    <w:rsid w:val="00BB3DAF"/>
    <w:rsid w:val="00BC0AFA"/>
    <w:rsid w:val="00BC658D"/>
    <w:rsid w:val="00BC6DA7"/>
    <w:rsid w:val="00BD5B19"/>
    <w:rsid w:val="00BD66FF"/>
    <w:rsid w:val="00BD77F3"/>
    <w:rsid w:val="00BE23AA"/>
    <w:rsid w:val="00BE63C2"/>
    <w:rsid w:val="00BE764D"/>
    <w:rsid w:val="00BF1C1D"/>
    <w:rsid w:val="00BF346B"/>
    <w:rsid w:val="00BF4474"/>
    <w:rsid w:val="00C05717"/>
    <w:rsid w:val="00C10D27"/>
    <w:rsid w:val="00C12CE2"/>
    <w:rsid w:val="00C136F4"/>
    <w:rsid w:val="00C141EE"/>
    <w:rsid w:val="00C15854"/>
    <w:rsid w:val="00C16D1C"/>
    <w:rsid w:val="00C1773C"/>
    <w:rsid w:val="00C200BC"/>
    <w:rsid w:val="00C20289"/>
    <w:rsid w:val="00C22146"/>
    <w:rsid w:val="00C3070C"/>
    <w:rsid w:val="00C31400"/>
    <w:rsid w:val="00C354F1"/>
    <w:rsid w:val="00C416A5"/>
    <w:rsid w:val="00C558FD"/>
    <w:rsid w:val="00C56022"/>
    <w:rsid w:val="00C575D1"/>
    <w:rsid w:val="00C71270"/>
    <w:rsid w:val="00C75463"/>
    <w:rsid w:val="00C755E8"/>
    <w:rsid w:val="00C770EC"/>
    <w:rsid w:val="00C815EB"/>
    <w:rsid w:val="00C81B78"/>
    <w:rsid w:val="00C83C98"/>
    <w:rsid w:val="00C8583A"/>
    <w:rsid w:val="00C90AFB"/>
    <w:rsid w:val="00C92165"/>
    <w:rsid w:val="00C93121"/>
    <w:rsid w:val="00C96BF7"/>
    <w:rsid w:val="00C97381"/>
    <w:rsid w:val="00C976E8"/>
    <w:rsid w:val="00CA0AEE"/>
    <w:rsid w:val="00CA3809"/>
    <w:rsid w:val="00CA6831"/>
    <w:rsid w:val="00CB145E"/>
    <w:rsid w:val="00CB1A99"/>
    <w:rsid w:val="00CB4CDF"/>
    <w:rsid w:val="00CB7447"/>
    <w:rsid w:val="00CD4198"/>
    <w:rsid w:val="00CD419A"/>
    <w:rsid w:val="00CE1DBE"/>
    <w:rsid w:val="00CE3478"/>
    <w:rsid w:val="00CE3FC3"/>
    <w:rsid w:val="00CE4D0A"/>
    <w:rsid w:val="00CF21BC"/>
    <w:rsid w:val="00CF2CF6"/>
    <w:rsid w:val="00D05AE1"/>
    <w:rsid w:val="00D138F1"/>
    <w:rsid w:val="00D20F9F"/>
    <w:rsid w:val="00D219B0"/>
    <w:rsid w:val="00D21D2E"/>
    <w:rsid w:val="00D24013"/>
    <w:rsid w:val="00D271D4"/>
    <w:rsid w:val="00D3265D"/>
    <w:rsid w:val="00D40BD5"/>
    <w:rsid w:val="00D420A4"/>
    <w:rsid w:val="00D45B67"/>
    <w:rsid w:val="00D50236"/>
    <w:rsid w:val="00D506BF"/>
    <w:rsid w:val="00D51354"/>
    <w:rsid w:val="00D711AA"/>
    <w:rsid w:val="00D7204E"/>
    <w:rsid w:val="00D72256"/>
    <w:rsid w:val="00D72C76"/>
    <w:rsid w:val="00D73620"/>
    <w:rsid w:val="00D7587B"/>
    <w:rsid w:val="00D803A6"/>
    <w:rsid w:val="00D82D47"/>
    <w:rsid w:val="00D90BB7"/>
    <w:rsid w:val="00D91567"/>
    <w:rsid w:val="00D95023"/>
    <w:rsid w:val="00D96136"/>
    <w:rsid w:val="00D9633A"/>
    <w:rsid w:val="00D97768"/>
    <w:rsid w:val="00DA0964"/>
    <w:rsid w:val="00DA63D4"/>
    <w:rsid w:val="00DA70DF"/>
    <w:rsid w:val="00DB7385"/>
    <w:rsid w:val="00DC4E78"/>
    <w:rsid w:val="00DC5089"/>
    <w:rsid w:val="00DC5F60"/>
    <w:rsid w:val="00DD1A24"/>
    <w:rsid w:val="00DD474B"/>
    <w:rsid w:val="00DE1C68"/>
    <w:rsid w:val="00DE3A69"/>
    <w:rsid w:val="00DE5C2E"/>
    <w:rsid w:val="00DE7573"/>
    <w:rsid w:val="00DE757B"/>
    <w:rsid w:val="00DE7F8D"/>
    <w:rsid w:val="00E05749"/>
    <w:rsid w:val="00E07EF7"/>
    <w:rsid w:val="00E14802"/>
    <w:rsid w:val="00E15565"/>
    <w:rsid w:val="00E23652"/>
    <w:rsid w:val="00E23A9B"/>
    <w:rsid w:val="00E2418E"/>
    <w:rsid w:val="00E252A3"/>
    <w:rsid w:val="00E27B66"/>
    <w:rsid w:val="00E33374"/>
    <w:rsid w:val="00E35723"/>
    <w:rsid w:val="00E402FC"/>
    <w:rsid w:val="00E42A13"/>
    <w:rsid w:val="00E440AE"/>
    <w:rsid w:val="00E4786A"/>
    <w:rsid w:val="00E47B50"/>
    <w:rsid w:val="00E5208C"/>
    <w:rsid w:val="00E54171"/>
    <w:rsid w:val="00E569F9"/>
    <w:rsid w:val="00E60A60"/>
    <w:rsid w:val="00E62EA7"/>
    <w:rsid w:val="00E63146"/>
    <w:rsid w:val="00E661D1"/>
    <w:rsid w:val="00E7746B"/>
    <w:rsid w:val="00E83645"/>
    <w:rsid w:val="00E839A1"/>
    <w:rsid w:val="00E84E17"/>
    <w:rsid w:val="00E86609"/>
    <w:rsid w:val="00E93E3E"/>
    <w:rsid w:val="00E95897"/>
    <w:rsid w:val="00E96689"/>
    <w:rsid w:val="00EA232A"/>
    <w:rsid w:val="00EB00CB"/>
    <w:rsid w:val="00EB1257"/>
    <w:rsid w:val="00EB1DCF"/>
    <w:rsid w:val="00EB4600"/>
    <w:rsid w:val="00EC78C1"/>
    <w:rsid w:val="00EC7C3D"/>
    <w:rsid w:val="00ED1F43"/>
    <w:rsid w:val="00ED389E"/>
    <w:rsid w:val="00ED462C"/>
    <w:rsid w:val="00EE7DA2"/>
    <w:rsid w:val="00F05173"/>
    <w:rsid w:val="00F10271"/>
    <w:rsid w:val="00F102E0"/>
    <w:rsid w:val="00F11F0B"/>
    <w:rsid w:val="00F20B3D"/>
    <w:rsid w:val="00F25597"/>
    <w:rsid w:val="00F35EA9"/>
    <w:rsid w:val="00F36B82"/>
    <w:rsid w:val="00F407EE"/>
    <w:rsid w:val="00F5200B"/>
    <w:rsid w:val="00F63FBA"/>
    <w:rsid w:val="00F656B7"/>
    <w:rsid w:val="00F75B98"/>
    <w:rsid w:val="00F77EAE"/>
    <w:rsid w:val="00F81109"/>
    <w:rsid w:val="00F8421B"/>
    <w:rsid w:val="00F8562F"/>
    <w:rsid w:val="00F86A03"/>
    <w:rsid w:val="00F911B2"/>
    <w:rsid w:val="00F92E47"/>
    <w:rsid w:val="00FB7692"/>
    <w:rsid w:val="00FC4EAE"/>
    <w:rsid w:val="00FD3E70"/>
    <w:rsid w:val="00FD6481"/>
    <w:rsid w:val="00FE07E7"/>
    <w:rsid w:val="00FE088B"/>
    <w:rsid w:val="00FE20B9"/>
    <w:rsid w:val="00FE622F"/>
    <w:rsid w:val="00FF0F6B"/>
    <w:rsid w:val="00FF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5B96D"/>
  <w15:docId w15:val="{04393EE4-6137-46FA-A32D-D8B44093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US" w:bidi="ar-SA"/>
      </w:rPr>
    </w:rPrDefault>
    <w:pPrDefault>
      <w:pPr>
        <w:spacing w:before="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FCF"/>
    <w:pPr>
      <w:spacing w:line="260" w:lineRule="atLeast"/>
    </w:pPr>
    <w:rPr>
      <w:lang w:eastAsia="tr-TR"/>
    </w:rPr>
  </w:style>
  <w:style w:type="paragraph" w:styleId="Heading1">
    <w:name w:val="heading 1"/>
    <w:basedOn w:val="Normal"/>
    <w:next w:val="Normal"/>
    <w:qFormat/>
    <w:rsid w:val="006A2D46"/>
    <w:pPr>
      <w:keepNext/>
      <w:spacing w:before="240"/>
      <w:jc w:val="center"/>
      <w:outlineLvl w:val="0"/>
    </w:pPr>
    <w:rPr>
      <w:b/>
      <w:caps/>
    </w:rPr>
  </w:style>
  <w:style w:type="paragraph" w:styleId="Heading2">
    <w:name w:val="heading 2"/>
    <w:aliases w:val="main heading"/>
    <w:basedOn w:val="Normal"/>
    <w:next w:val="Normal"/>
    <w:qFormat/>
    <w:rsid w:val="006A2D46"/>
    <w:pPr>
      <w:keepNext/>
      <w:spacing w:before="200"/>
      <w:jc w:val="center"/>
      <w:outlineLvl w:val="1"/>
    </w:pPr>
    <w:rPr>
      <w:b/>
      <w:sz w:val="28"/>
    </w:rPr>
  </w:style>
  <w:style w:type="paragraph" w:styleId="Heading3">
    <w:name w:val="heading 3"/>
    <w:aliases w:val="sub heading"/>
    <w:basedOn w:val="Normal"/>
    <w:next w:val="Normal"/>
    <w:qFormat/>
    <w:rsid w:val="006A2D46"/>
    <w:pPr>
      <w:keepNext/>
      <w:spacing w:before="200"/>
      <w:jc w:val="left"/>
      <w:outlineLvl w:val="2"/>
    </w:pPr>
    <w:rPr>
      <w:b/>
      <w:i/>
      <w:sz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qFormat/>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basedOn w:val="DefaultParagraphFont"/>
    <w:link w:val="FootnoteText"/>
    <w:rsid w:val="00911328"/>
    <w:rPr>
      <w:rFonts w:ascii="Times New Roman" w:hAnsi="Times New Roman"/>
      <w:lang w:val="en-AU"/>
    </w:rPr>
  </w:style>
  <w:style w:type="character" w:styleId="FootnoteReference">
    <w:name w:val="footnote reference"/>
    <w:basedOn w:val="DefaultParagraphFont"/>
    <w:uiPriority w:val="99"/>
    <w:rsid w:val="00911328"/>
    <w:rPr>
      <w:vertAlign w:val="superscript"/>
    </w:rPr>
  </w:style>
  <w:style w:type="paragraph" w:customStyle="1" w:styleId="Default">
    <w:name w:val="Default"/>
    <w:uiPriority w:val="99"/>
    <w:rsid w:val="007866E5"/>
    <w:pPr>
      <w:autoSpaceDE w:val="0"/>
      <w:autoSpaceDN w:val="0"/>
      <w:adjustRightInd w:val="0"/>
    </w:pPr>
    <w:rPr>
      <w:color w:val="000000"/>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styleId="EndnoteText">
    <w:name w:val="endnote text"/>
    <w:basedOn w:val="Normal"/>
    <w:link w:val="EndnoteTextChar"/>
    <w:semiHidden/>
    <w:unhideWhenUsed/>
    <w:rsid w:val="002D50A5"/>
    <w:pPr>
      <w:spacing w:before="0" w:line="240" w:lineRule="auto"/>
    </w:pPr>
    <w:rPr>
      <w:sz w:val="20"/>
    </w:rPr>
  </w:style>
  <w:style w:type="character" w:customStyle="1" w:styleId="EndnoteTextChar">
    <w:name w:val="Endnote Text Char"/>
    <w:basedOn w:val="DefaultParagraphFont"/>
    <w:link w:val="EndnoteText"/>
    <w:semiHidden/>
    <w:rsid w:val="002D50A5"/>
    <w:rPr>
      <w:rFonts w:ascii="Times New Roman" w:hAnsi="Times New Roman"/>
      <w:lang w:val="en-AU" w:eastAsia="tr-TR"/>
    </w:rPr>
  </w:style>
  <w:style w:type="character" w:styleId="EndnoteReference">
    <w:name w:val="endnote reference"/>
    <w:basedOn w:val="DefaultParagraphFont"/>
    <w:semiHidden/>
    <w:unhideWhenUsed/>
    <w:rsid w:val="002D50A5"/>
    <w:rPr>
      <w:vertAlign w:val="superscript"/>
    </w:rPr>
  </w:style>
  <w:style w:type="paragraph" w:customStyle="1" w:styleId="HeaderJERE">
    <w:name w:val="Header_JERE"/>
    <w:basedOn w:val="Header"/>
    <w:link w:val="HeaderJEREChar"/>
    <w:qFormat/>
    <w:rsid w:val="009E41C9"/>
    <w:pPr>
      <w:pBdr>
        <w:bottom w:val="single" w:sz="18" w:space="1" w:color="auto"/>
      </w:pBdr>
      <w:tabs>
        <w:tab w:val="right" w:pos="9450"/>
      </w:tabs>
      <w:spacing w:line="240" w:lineRule="auto"/>
      <w:ind w:right="190"/>
    </w:pPr>
    <w:rPr>
      <w:rFonts w:asciiTheme="majorHAnsi" w:hAnsiTheme="majorHAnsi"/>
      <w:i w:val="0"/>
      <w:sz w:val="16"/>
      <w:szCs w:val="16"/>
      <w:lang w:val="en-US"/>
    </w:rPr>
  </w:style>
  <w:style w:type="character" w:customStyle="1" w:styleId="HeaderJEREChar">
    <w:name w:val="Header_JERE Char"/>
    <w:basedOn w:val="DefaultParagraphFont"/>
    <w:link w:val="HeaderJERE"/>
    <w:rsid w:val="009E41C9"/>
    <w:rPr>
      <w:rFonts w:asciiTheme="majorHAnsi" w:hAnsiTheme="majorHAnsi"/>
      <w:sz w:val="16"/>
      <w:szCs w:val="16"/>
      <w:lang w:eastAsia="tr-TR"/>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D75FC1"/>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D75FC1"/>
    <w:rPr>
      <w:rFonts w:ascii="Calibri" w:eastAsia="Calibri" w:hAnsi="Calibri"/>
      <w:sz w:val="22"/>
      <w:szCs w:val="22"/>
    </w:rPr>
  </w:style>
  <w:style w:type="paragraph" w:styleId="BalloonText">
    <w:name w:val="Balloon Text"/>
    <w:basedOn w:val="Normal"/>
    <w:link w:val="BalloonTextChar"/>
    <w:semiHidden/>
    <w:unhideWhenUsed/>
    <w:rsid w:val="00034A7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4A7A"/>
    <w:rPr>
      <w:rFonts w:ascii="Tahoma" w:hAnsi="Tahoma" w:cs="Tahoma"/>
      <w:sz w:val="16"/>
      <w:szCs w:val="16"/>
      <w:lang w:val="en-AU" w:eastAsia="tr-TR"/>
    </w:rPr>
  </w:style>
  <w:style w:type="paragraph" w:styleId="NoSpacing">
    <w:name w:val="No Spacing"/>
    <w:uiPriority w:val="1"/>
    <w:qFormat/>
    <w:rsid w:val="00106587"/>
    <w:rPr>
      <w:rFonts w:ascii="Calibri" w:eastAsia="Calibri" w:hAnsi="Calibri" w:cs="Calibri"/>
      <w:sz w:val="22"/>
      <w:szCs w:val="22"/>
    </w:rPr>
  </w:style>
  <w:style w:type="character" w:customStyle="1" w:styleId="m-699675353688216670s1">
    <w:name w:val="m_-699675353688216670s1"/>
    <w:basedOn w:val="DefaultParagraphFont"/>
    <w:rsid w:val="00BD54E5"/>
  </w:style>
  <w:style w:type="character" w:customStyle="1" w:styleId="m-699675353688216670apple-converted-space">
    <w:name w:val="m_-699675353688216670apple-converted-space"/>
    <w:basedOn w:val="DefaultParagraphFont"/>
    <w:rsid w:val="00BD54E5"/>
  </w:style>
  <w:style w:type="character" w:styleId="CommentReference">
    <w:name w:val="annotation reference"/>
    <w:basedOn w:val="DefaultParagraphFont"/>
    <w:uiPriority w:val="99"/>
    <w:semiHidden/>
    <w:unhideWhenUsed/>
    <w:rsid w:val="003050E7"/>
    <w:rPr>
      <w:sz w:val="16"/>
      <w:szCs w:val="16"/>
    </w:rPr>
  </w:style>
  <w:style w:type="paragraph" w:styleId="CommentText">
    <w:name w:val="annotation text"/>
    <w:basedOn w:val="Normal"/>
    <w:link w:val="CommentTextChar"/>
    <w:uiPriority w:val="99"/>
    <w:unhideWhenUsed/>
    <w:rsid w:val="003050E7"/>
    <w:pPr>
      <w:spacing w:line="240" w:lineRule="auto"/>
    </w:pPr>
    <w:rPr>
      <w:sz w:val="20"/>
    </w:rPr>
  </w:style>
  <w:style w:type="character" w:customStyle="1" w:styleId="CommentTextChar">
    <w:name w:val="Comment Text Char"/>
    <w:basedOn w:val="DefaultParagraphFont"/>
    <w:link w:val="CommentText"/>
    <w:uiPriority w:val="99"/>
    <w:rsid w:val="003050E7"/>
    <w:rPr>
      <w:rFonts w:ascii="Times New Roman" w:hAnsi="Times New Roman"/>
      <w:lang w:val="en-AU" w:eastAsia="tr-TR"/>
    </w:rPr>
  </w:style>
  <w:style w:type="paragraph" w:styleId="BodyText">
    <w:name w:val="Body Text"/>
    <w:basedOn w:val="Normal"/>
    <w:link w:val="BodyTextChar"/>
    <w:rsid w:val="00F81D04"/>
    <w:pPr>
      <w:tabs>
        <w:tab w:val="left" w:pos="0"/>
        <w:tab w:val="left" w:pos="360"/>
      </w:tabs>
      <w:spacing w:before="0" w:line="480" w:lineRule="auto"/>
    </w:pPr>
    <w:rPr>
      <w:noProof/>
      <w:lang w:val="sv-SE" w:eastAsia="en-US"/>
    </w:rPr>
  </w:style>
  <w:style w:type="character" w:customStyle="1" w:styleId="BodyTextChar">
    <w:name w:val="Body Text Char"/>
    <w:basedOn w:val="DefaultParagraphFont"/>
    <w:link w:val="BodyText"/>
    <w:rsid w:val="00F81D04"/>
    <w:rPr>
      <w:rFonts w:ascii="Times New Roman" w:hAnsi="Times New Roman"/>
      <w:noProof/>
      <w:sz w:val="24"/>
      <w:szCs w:val="24"/>
      <w:lang w:val="sv-SE"/>
    </w:rPr>
  </w:style>
  <w:style w:type="paragraph" w:styleId="NormalWeb">
    <w:name w:val="Normal (Web)"/>
    <w:basedOn w:val="Normal"/>
    <w:uiPriority w:val="99"/>
    <w:unhideWhenUsed/>
    <w:rsid w:val="00F81D04"/>
    <w:pPr>
      <w:spacing w:before="100" w:beforeAutospacing="1" w:after="100" w:afterAutospacing="1" w:line="240" w:lineRule="auto"/>
      <w:jc w:val="left"/>
    </w:pPr>
    <w:rPr>
      <w:lang w:val="en-US" w:eastAsia="en-US"/>
    </w:rPr>
  </w:style>
  <w:style w:type="character" w:styleId="Emphasis">
    <w:name w:val="Emphasis"/>
    <w:basedOn w:val="DefaultParagraphFont"/>
    <w:uiPriority w:val="20"/>
    <w:qFormat/>
    <w:rsid w:val="00833A50"/>
    <w:rPr>
      <w:i/>
      <w:iCs/>
    </w:rPr>
  </w:style>
  <w:style w:type="character" w:customStyle="1" w:styleId="HeaderChar">
    <w:name w:val="Header Char"/>
    <w:basedOn w:val="DefaultParagraphFont"/>
    <w:link w:val="Header"/>
    <w:uiPriority w:val="99"/>
    <w:rsid w:val="0026125F"/>
    <w:rPr>
      <w:rFonts w:ascii="Times New Roman" w:hAnsi="Times New Roman"/>
      <w:i/>
      <w:sz w:val="24"/>
      <w:lang w:val="en-AU" w:eastAsia="tr-TR"/>
    </w:rPr>
  </w:style>
  <w:style w:type="paragraph" w:customStyle="1" w:styleId="Reference0">
    <w:name w:val="Reference"/>
    <w:basedOn w:val="Normal"/>
    <w:rsid w:val="00953BA2"/>
    <w:pPr>
      <w:spacing w:before="0" w:line="240" w:lineRule="auto"/>
      <w:ind w:left="720" w:hanging="360"/>
    </w:pPr>
    <w:rPr>
      <w:sz w:val="22"/>
      <w:szCs w:val="22"/>
      <w:lang w:val="en-US" w:eastAsia="en-US"/>
    </w:rPr>
  </w:style>
  <w:style w:type="character" w:customStyle="1" w:styleId="apple-converted-space">
    <w:name w:val="apple-converted-space"/>
    <w:basedOn w:val="DefaultParagraphFont"/>
    <w:rsid w:val="000A4EF2"/>
  </w:style>
  <w:style w:type="table" w:styleId="TableGrid">
    <w:name w:val="Table Grid"/>
    <w:basedOn w:val="TableNormal"/>
    <w:uiPriority w:val="39"/>
    <w:qFormat/>
    <w:rsid w:val="000F0D1C"/>
    <w:pPr>
      <w:ind w:left="8221" w:hanging="8204"/>
    </w:pPr>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369BA"/>
    <w:rPr>
      <w:b/>
      <w:bCs/>
    </w:rPr>
  </w:style>
  <w:style w:type="paragraph" w:styleId="Bibliography">
    <w:name w:val="Bibliography"/>
    <w:basedOn w:val="Normal"/>
    <w:next w:val="Normal"/>
    <w:uiPriority w:val="37"/>
    <w:unhideWhenUsed/>
    <w:rsid w:val="00A27A07"/>
  </w:style>
  <w:style w:type="character" w:customStyle="1" w:styleId="UnresolvedMention1">
    <w:name w:val="Unresolved Mention1"/>
    <w:basedOn w:val="DefaultParagraphFont"/>
    <w:uiPriority w:val="99"/>
    <w:semiHidden/>
    <w:unhideWhenUsed/>
    <w:rsid w:val="00EE0AB5"/>
    <w:rPr>
      <w:color w:val="605E5C"/>
      <w:shd w:val="clear" w:color="auto" w:fill="E1DFDD"/>
    </w:rPr>
  </w:style>
  <w:style w:type="paragraph" w:customStyle="1" w:styleId="bab">
    <w:name w:val="bab"/>
    <w:basedOn w:val="Heading1"/>
    <w:link w:val="babChar"/>
    <w:qFormat/>
    <w:rsid w:val="00E86FA5"/>
    <w:pPr>
      <w:tabs>
        <w:tab w:val="num" w:pos="720"/>
      </w:tabs>
      <w:spacing w:after="240" w:line="240" w:lineRule="auto"/>
      <w:ind w:left="720" w:hanging="720"/>
      <w:jc w:val="left"/>
    </w:pPr>
    <w:rPr>
      <w:rFonts w:ascii="Cambria" w:hAnsi="Cambria"/>
      <w:bCs/>
      <w:caps w:val="0"/>
      <w:kern w:val="32"/>
      <w:sz w:val="22"/>
      <w:szCs w:val="22"/>
      <w:lang w:val="x-none" w:eastAsia="ja-JP"/>
    </w:rPr>
  </w:style>
  <w:style w:type="character" w:customStyle="1" w:styleId="babChar">
    <w:name w:val="bab Char"/>
    <w:link w:val="bab"/>
    <w:rsid w:val="00E86FA5"/>
    <w:rPr>
      <w:rFonts w:ascii="Cambria" w:hAnsi="Cambria"/>
      <w:b/>
      <w:bCs/>
      <w:kern w:val="32"/>
      <w:sz w:val="22"/>
      <w:szCs w:val="22"/>
      <w:lang w:val="x-none" w:eastAsia="ja-JP"/>
    </w:rPr>
  </w:style>
  <w:style w:type="table" w:styleId="LightShading">
    <w:name w:val="Light Shading"/>
    <w:basedOn w:val="TableNormal"/>
    <w:uiPriority w:val="60"/>
    <w:rsid w:val="00350346"/>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4">
    <w:name w:val="A4"/>
    <w:uiPriority w:val="99"/>
    <w:rsid w:val="003D785C"/>
    <w:rPr>
      <w:color w:val="000000"/>
    </w:rPr>
  </w:style>
  <w:style w:type="table" w:customStyle="1" w:styleId="TableGrid1">
    <w:name w:val="Table Grid1"/>
    <w:basedOn w:val="TableNormal"/>
    <w:next w:val="TableGrid"/>
    <w:uiPriority w:val="59"/>
    <w:rsid w:val="00FC6E0E"/>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DefaultParagraphFont"/>
    <w:rsid w:val="006E6DBF"/>
  </w:style>
  <w:style w:type="character" w:customStyle="1" w:styleId="longtext">
    <w:name w:val="long_text"/>
    <w:basedOn w:val="DefaultParagraphFont"/>
    <w:rsid w:val="0045628C"/>
  </w:style>
  <w:style w:type="paragraph" w:customStyle="1" w:styleId="Style3">
    <w:name w:val="Style3"/>
    <w:basedOn w:val="Normal"/>
    <w:uiPriority w:val="99"/>
    <w:rsid w:val="0045628C"/>
    <w:pPr>
      <w:widowControl w:val="0"/>
      <w:autoSpaceDE w:val="0"/>
      <w:autoSpaceDN w:val="0"/>
      <w:adjustRightInd w:val="0"/>
      <w:spacing w:before="0" w:line="685" w:lineRule="exact"/>
      <w:ind w:firstLine="929"/>
    </w:pPr>
    <w:rPr>
      <w:lang w:val="en-US" w:eastAsia="en-US"/>
    </w:rPr>
  </w:style>
  <w:style w:type="table" w:customStyle="1" w:styleId="TableGrid2">
    <w:name w:val="Table Grid2"/>
    <w:basedOn w:val="TableNormal"/>
    <w:next w:val="TableGrid"/>
    <w:rsid w:val="0045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4B31"/>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051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7531"/>
    <w:rPr>
      <w:color w:val="605E5C"/>
      <w:shd w:val="clear" w:color="auto" w:fill="E1DFDD"/>
    </w:rPr>
  </w:style>
  <w:style w:type="paragraph" w:styleId="BodyTextIndent3">
    <w:name w:val="Body Text Indent 3"/>
    <w:basedOn w:val="Normal"/>
    <w:link w:val="BodyTextIndent3Char"/>
    <w:semiHidden/>
    <w:unhideWhenUsed/>
    <w:rsid w:val="00A21CA7"/>
    <w:pPr>
      <w:spacing w:after="120"/>
      <w:ind w:left="283"/>
    </w:pPr>
    <w:rPr>
      <w:sz w:val="16"/>
      <w:szCs w:val="16"/>
    </w:rPr>
  </w:style>
  <w:style w:type="character" w:customStyle="1" w:styleId="BodyTextIndent3Char">
    <w:name w:val="Body Text Indent 3 Char"/>
    <w:basedOn w:val="DefaultParagraphFont"/>
    <w:link w:val="BodyTextIndent3"/>
    <w:semiHidden/>
    <w:rsid w:val="00A21CA7"/>
    <w:rPr>
      <w:rFonts w:ascii="Times New Roman" w:hAnsi="Times New Roman"/>
      <w:sz w:val="16"/>
      <w:szCs w:val="16"/>
      <w:lang w:val="en-AU" w:eastAsia="tr-TR"/>
    </w:rPr>
  </w:style>
  <w:style w:type="table" w:customStyle="1" w:styleId="PlainTable21">
    <w:name w:val="Plain Table 21"/>
    <w:basedOn w:val="TableNormal"/>
    <w:uiPriority w:val="42"/>
    <w:rsid w:val="00272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leNormal"/>
    <w:next w:val="TableGrid"/>
    <w:uiPriority w:val="39"/>
    <w:rsid w:val="006500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279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7674A"/>
    <w:pPr>
      <w:spacing w:line="260" w:lineRule="exact"/>
      <w:ind w:firstLine="284"/>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380CF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0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718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E23540"/>
  </w:style>
  <w:style w:type="table" w:customStyle="1" w:styleId="LightShading1">
    <w:name w:val="Light Shading1"/>
    <w:basedOn w:val="TableNormal"/>
    <w:next w:val="LightShading"/>
    <w:uiPriority w:val="60"/>
    <w:rsid w:val="00E23540"/>
    <w:rPr>
      <w:rFonts w:eastAsia="Calibri"/>
      <w:color w:val="000000"/>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AB36AB"/>
    <w:pPr>
      <w:spacing w:before="0" w:after="200" w:line="240" w:lineRule="auto"/>
      <w:jc w:val="left"/>
    </w:pPr>
    <w:rPr>
      <w:rFonts w:ascii="Calibri" w:eastAsia="Calibri" w:hAnsi="Calibri"/>
      <w:b/>
      <w:bCs/>
      <w:color w:val="4F81BD"/>
      <w:sz w:val="18"/>
      <w:szCs w:val="18"/>
      <w:lang w:val="id-ID" w:eastAsia="en-US"/>
    </w:rPr>
  </w:style>
  <w:style w:type="table" w:customStyle="1" w:styleId="PlainTable210">
    <w:name w:val="Plain Table 21"/>
    <w:basedOn w:val="TableNormal"/>
    <w:uiPriority w:val="42"/>
    <w:rsid w:val="00D3134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4">
    <w:name w:val="Table Grid14"/>
    <w:basedOn w:val="TableNormal"/>
    <w:next w:val="TableGrid"/>
    <w:uiPriority w:val="39"/>
    <w:rsid w:val="00D31347"/>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q">
    <w:name w:val="qqq"/>
    <w:basedOn w:val="BodyTextIndent"/>
    <w:rsid w:val="00515383"/>
    <w:pPr>
      <w:tabs>
        <w:tab w:val="num" w:pos="360"/>
      </w:tabs>
      <w:spacing w:before="0" w:after="0" w:line="240" w:lineRule="auto"/>
      <w:ind w:left="252"/>
    </w:pPr>
    <w:rPr>
      <w:rFonts w:ascii="Arial Narrow" w:hAnsi="Arial Narrow"/>
      <w:sz w:val="22"/>
      <w:szCs w:val="22"/>
      <w:lang w:val="en-US" w:eastAsia="en-US"/>
    </w:rPr>
  </w:style>
  <w:style w:type="paragraph" w:styleId="BodyTextIndent">
    <w:name w:val="Body Text Indent"/>
    <w:basedOn w:val="Normal"/>
    <w:link w:val="BodyTextIndentChar"/>
    <w:semiHidden/>
    <w:unhideWhenUsed/>
    <w:rsid w:val="00515383"/>
    <w:pPr>
      <w:spacing w:after="120"/>
      <w:ind w:left="283"/>
    </w:pPr>
  </w:style>
  <w:style w:type="character" w:customStyle="1" w:styleId="BodyTextIndentChar">
    <w:name w:val="Body Text Indent Char"/>
    <w:basedOn w:val="DefaultParagraphFont"/>
    <w:link w:val="BodyTextIndent"/>
    <w:semiHidden/>
    <w:rsid w:val="00515383"/>
    <w:rPr>
      <w:rFonts w:ascii="Times New Roman" w:hAnsi="Times New Roman"/>
      <w:sz w:val="24"/>
      <w:lang w:val="en-AU" w:eastAsia="tr-TR"/>
    </w:rPr>
  </w:style>
  <w:style w:type="table" w:customStyle="1" w:styleId="PlainTable22">
    <w:name w:val="Plain Table 22"/>
    <w:basedOn w:val="TableNormal"/>
    <w:next w:val="PlainTable21"/>
    <w:uiPriority w:val="42"/>
    <w:rsid w:val="0051538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5">
    <w:name w:val="Table Grid15"/>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1122C"/>
    <w:rPr>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1122C"/>
    <w:rPr>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53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5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D53AEA"/>
    <w:rPr>
      <w:rFonts w:ascii="Courier New" w:hAnsi="Courier New" w:cs="Courier New"/>
      <w:szCs w:val="24"/>
    </w:rPr>
  </w:style>
  <w:style w:type="table" w:customStyle="1" w:styleId="TableGrid20">
    <w:name w:val="Table Grid20"/>
    <w:basedOn w:val="TableNormal"/>
    <w:next w:val="TableGrid"/>
    <w:uiPriority w:val="59"/>
    <w:rsid w:val="00D13B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E433E"/>
    <w:rPr>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1">
    <w:name w:val="Tabel1"/>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60" w:lineRule="auto"/>
      <w:ind w:left="8221" w:firstLine="283"/>
    </w:pPr>
    <w:rPr>
      <w:rFonts w:ascii="Calibri" w:eastAsia="Calibri" w:hAnsi="Calibri" w:cs="Calibri"/>
      <w:color w:val="000000"/>
      <w:sz w:val="22"/>
      <w:szCs w:val="22"/>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808C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20702"/>
    <w:rPr>
      <w:b/>
      <w:bCs/>
      <w:szCs w:val="20"/>
    </w:rPr>
  </w:style>
  <w:style w:type="character" w:customStyle="1" w:styleId="CommentSubjectChar">
    <w:name w:val="Comment Subject Char"/>
    <w:basedOn w:val="CommentTextChar"/>
    <w:link w:val="CommentSubject"/>
    <w:uiPriority w:val="99"/>
    <w:semiHidden/>
    <w:rsid w:val="00820702"/>
    <w:rPr>
      <w:rFonts w:ascii="Times New Roman" w:hAnsi="Times New Roman"/>
      <w:b/>
      <w:bCs/>
      <w:sz w:val="20"/>
      <w:szCs w:val="20"/>
      <w:lang w:val="en-AU"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7168">
      <w:bodyDiv w:val="1"/>
      <w:marLeft w:val="0"/>
      <w:marRight w:val="0"/>
      <w:marTop w:val="0"/>
      <w:marBottom w:val="0"/>
      <w:divBdr>
        <w:top w:val="none" w:sz="0" w:space="0" w:color="auto"/>
        <w:left w:val="none" w:sz="0" w:space="0" w:color="auto"/>
        <w:bottom w:val="none" w:sz="0" w:space="0" w:color="auto"/>
        <w:right w:val="none" w:sz="0" w:space="0" w:color="auto"/>
      </w:divBdr>
    </w:div>
    <w:div w:id="217015945">
      <w:bodyDiv w:val="1"/>
      <w:marLeft w:val="0"/>
      <w:marRight w:val="0"/>
      <w:marTop w:val="0"/>
      <w:marBottom w:val="0"/>
      <w:divBdr>
        <w:top w:val="none" w:sz="0" w:space="0" w:color="auto"/>
        <w:left w:val="none" w:sz="0" w:space="0" w:color="auto"/>
        <w:bottom w:val="none" w:sz="0" w:space="0" w:color="auto"/>
        <w:right w:val="none" w:sz="0" w:space="0" w:color="auto"/>
      </w:divBdr>
    </w:div>
    <w:div w:id="1674604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reativecommons.org/licenses/by-sa/4.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mailto:majisutoyo@email.com%20" TargetMode="External"/><Relationship Id="rId1" Type="http://schemas.openxmlformats.org/officeDocument/2006/relationships/hyperlink" Target="mailto:gap.suprianti@undiksha.ac.id"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ejournal.undiksha.ac.id/index.php/JLLS"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vE/GO93vGrGIJ85Ll9W7qCREvw==">AMUW2mWTS63wyyXPHIJ65vgEaY2+jydaodCsjukEN8oyN7oELxgbECT+9y/6dwHk6FknNV45qGW53NK/zUX1VlvkDTB7JEHYQPui03AIgDv9kO4Vl0sYxFztsfyt8JWPTCgBolDnlNJzyPlHpk6x4UsY4+6y9lVArQ==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70FF68-6B19-4655-A55B-B8DC3404E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19436</Words>
  <Characters>110790</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icpres</dc:creator>
  <cp:lastModifiedBy>komararara@gmail.com</cp:lastModifiedBy>
  <cp:revision>2</cp:revision>
  <cp:lastPrinted>2024-02-16T04:56:00Z</cp:lastPrinted>
  <dcterms:created xsi:type="dcterms:W3CDTF">2024-03-16T03:51:00Z</dcterms:created>
  <dcterms:modified xsi:type="dcterms:W3CDTF">2024-03-16T03:51:00Z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b7ea9992-22f4-32a3-9031-90ae1980787d</vt:lpwstr>
  </property>
  <property fmtid="{D5CDD505-2E9C-101B-9397-08002B2CF9AE}" pid="24" name="Mendeley Citation Style_1">
    <vt:lpwstr>http://www.zotero.org/styles/apa</vt:lpwstr>
  </property>
</Properties>
</file>